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B90A" w14:textId="3AF069E3" w:rsidR="005F5156" w:rsidRDefault="00F25C35">
      <w:pPr>
        <w:jc w:val="left"/>
        <w:rPr>
          <w:rFonts w:eastAsia="仿宋_GB2312"/>
          <w:kern w:val="2"/>
          <w:sz w:val="28"/>
          <w:szCs w:val="28"/>
        </w:rPr>
      </w:pPr>
      <w:r>
        <w:rPr>
          <w:rFonts w:eastAsia="仿宋_GB2312" w:hint="eastAsia"/>
          <w:kern w:val="2"/>
          <w:sz w:val="28"/>
          <w:szCs w:val="28"/>
        </w:rPr>
        <w:t>附件</w:t>
      </w:r>
      <w:r w:rsidR="00BF45E2">
        <w:rPr>
          <w:rFonts w:eastAsia="仿宋_GB2312"/>
          <w:kern w:val="2"/>
          <w:sz w:val="28"/>
          <w:szCs w:val="28"/>
        </w:rPr>
        <w:t>3</w:t>
      </w:r>
      <w:bookmarkStart w:id="0" w:name="_GoBack"/>
      <w:bookmarkEnd w:id="0"/>
      <w:r>
        <w:rPr>
          <w:rFonts w:eastAsia="仿宋_GB2312" w:hint="eastAsia"/>
          <w:kern w:val="2"/>
          <w:sz w:val="28"/>
          <w:szCs w:val="28"/>
        </w:rPr>
        <w:t>：</w:t>
      </w:r>
    </w:p>
    <w:p w14:paraId="45D2AFBD" w14:textId="23F0AB29" w:rsidR="005F5156" w:rsidRDefault="00F25C35">
      <w:pPr>
        <w:jc w:val="center"/>
        <w:rPr>
          <w:rFonts w:ascii="仿宋_GB2312" w:eastAsia="仿宋_GB2312"/>
          <w:b/>
          <w:kern w:val="2"/>
          <w:sz w:val="36"/>
          <w:szCs w:val="36"/>
        </w:rPr>
      </w:pPr>
      <w:r>
        <w:rPr>
          <w:rFonts w:ascii="仿宋_GB2312" w:eastAsia="仿宋_GB2312" w:hint="eastAsia"/>
          <w:b/>
          <w:kern w:val="2"/>
          <w:sz w:val="36"/>
          <w:szCs w:val="36"/>
        </w:rPr>
        <w:t>202</w:t>
      </w:r>
      <w:r w:rsidR="00BF45E2">
        <w:rPr>
          <w:rFonts w:ascii="仿宋_GB2312" w:eastAsia="仿宋_GB2312"/>
          <w:b/>
          <w:kern w:val="2"/>
          <w:sz w:val="36"/>
          <w:szCs w:val="36"/>
        </w:rPr>
        <w:t>6</w:t>
      </w:r>
      <w:r>
        <w:rPr>
          <w:rFonts w:ascii="仿宋_GB2312" w:eastAsia="仿宋_GB2312" w:hint="eastAsia"/>
          <w:b/>
          <w:kern w:val="2"/>
          <w:sz w:val="36"/>
          <w:szCs w:val="36"/>
        </w:rPr>
        <w:t>年华南农业大学教学名师评选指标</w:t>
      </w:r>
    </w:p>
    <w:p w14:paraId="3EACD035" w14:textId="77777777" w:rsidR="005F5156" w:rsidRDefault="005F5156">
      <w:pPr>
        <w:jc w:val="center"/>
        <w:rPr>
          <w:rFonts w:ascii="仿宋_GB2312" w:eastAsia="仿宋_GB2312"/>
          <w:b/>
          <w:kern w:val="2"/>
          <w:sz w:val="36"/>
          <w:szCs w:val="36"/>
        </w:rPr>
      </w:pPr>
    </w:p>
    <w:tbl>
      <w:tblPr>
        <w:tblStyle w:val="a9"/>
        <w:tblW w:w="0" w:type="auto"/>
        <w:tblLook w:val="04A0" w:firstRow="1" w:lastRow="0" w:firstColumn="1" w:lastColumn="0" w:noHBand="0" w:noVBand="1"/>
      </w:tblPr>
      <w:tblGrid>
        <w:gridCol w:w="1097"/>
        <w:gridCol w:w="706"/>
        <w:gridCol w:w="5046"/>
        <w:gridCol w:w="1084"/>
      </w:tblGrid>
      <w:tr w:rsidR="005F5156" w14:paraId="4284C17C" w14:textId="77777777">
        <w:trPr>
          <w:trHeight w:val="149"/>
        </w:trPr>
        <w:tc>
          <w:tcPr>
            <w:tcW w:w="1803" w:type="dxa"/>
            <w:gridSpan w:val="2"/>
          </w:tcPr>
          <w:p w14:paraId="06BC6656" w14:textId="77777777" w:rsidR="005F5156" w:rsidRDefault="00F25C35">
            <w:pPr>
              <w:jc w:val="center"/>
              <w:rPr>
                <w:rFonts w:ascii="黑体" w:eastAsia="黑体" w:hAnsi="黑体"/>
                <w:b/>
                <w:bCs/>
                <w:sz w:val="24"/>
                <w:szCs w:val="24"/>
              </w:rPr>
            </w:pPr>
            <w:r>
              <w:rPr>
                <w:rFonts w:ascii="黑体" w:eastAsia="黑体" w:hAnsi="黑体" w:hint="eastAsia"/>
                <w:b/>
                <w:bCs/>
                <w:sz w:val="24"/>
                <w:szCs w:val="24"/>
              </w:rPr>
              <w:t>项目</w:t>
            </w:r>
          </w:p>
        </w:tc>
        <w:tc>
          <w:tcPr>
            <w:tcW w:w="5046" w:type="dxa"/>
          </w:tcPr>
          <w:p w14:paraId="04AEA5FF" w14:textId="77777777" w:rsidR="005F5156" w:rsidRDefault="00F25C35">
            <w:pPr>
              <w:jc w:val="center"/>
              <w:rPr>
                <w:rFonts w:ascii="黑体" w:eastAsia="黑体" w:hAnsi="黑体"/>
                <w:b/>
                <w:bCs/>
                <w:sz w:val="24"/>
                <w:szCs w:val="24"/>
              </w:rPr>
            </w:pPr>
            <w:r>
              <w:rPr>
                <w:rFonts w:ascii="黑体" w:eastAsia="黑体" w:hAnsi="黑体" w:hint="eastAsia"/>
                <w:b/>
                <w:bCs/>
                <w:sz w:val="24"/>
                <w:szCs w:val="24"/>
              </w:rPr>
              <w:t>评</w:t>
            </w:r>
            <w:r>
              <w:rPr>
                <w:rFonts w:ascii="黑体" w:eastAsia="黑体" w:hAnsi="黑体" w:hint="eastAsia"/>
                <w:b/>
                <w:bCs/>
                <w:sz w:val="24"/>
                <w:szCs w:val="24"/>
              </w:rPr>
              <w:t xml:space="preserve"> </w:t>
            </w:r>
            <w:r>
              <w:rPr>
                <w:rFonts w:ascii="黑体" w:eastAsia="黑体" w:hAnsi="黑体" w:hint="eastAsia"/>
                <w:b/>
                <w:bCs/>
                <w:sz w:val="24"/>
                <w:szCs w:val="24"/>
              </w:rPr>
              <w:t>选</w:t>
            </w:r>
            <w:r>
              <w:rPr>
                <w:rFonts w:ascii="黑体" w:eastAsia="黑体" w:hAnsi="黑体" w:hint="eastAsia"/>
                <w:b/>
                <w:bCs/>
                <w:sz w:val="24"/>
                <w:szCs w:val="24"/>
              </w:rPr>
              <w:t xml:space="preserve"> </w:t>
            </w:r>
            <w:r>
              <w:rPr>
                <w:rFonts w:ascii="黑体" w:eastAsia="黑体" w:hAnsi="黑体" w:hint="eastAsia"/>
                <w:b/>
                <w:bCs/>
                <w:sz w:val="24"/>
                <w:szCs w:val="24"/>
              </w:rPr>
              <w:t>内</w:t>
            </w:r>
            <w:r>
              <w:rPr>
                <w:rFonts w:ascii="黑体" w:eastAsia="黑体" w:hAnsi="黑体" w:hint="eastAsia"/>
                <w:b/>
                <w:bCs/>
                <w:sz w:val="24"/>
                <w:szCs w:val="24"/>
              </w:rPr>
              <w:t xml:space="preserve"> </w:t>
            </w:r>
            <w:r>
              <w:rPr>
                <w:rFonts w:ascii="黑体" w:eastAsia="黑体" w:hAnsi="黑体" w:hint="eastAsia"/>
                <w:b/>
                <w:bCs/>
                <w:sz w:val="24"/>
                <w:szCs w:val="24"/>
              </w:rPr>
              <w:t>容</w:t>
            </w:r>
          </w:p>
        </w:tc>
        <w:tc>
          <w:tcPr>
            <w:tcW w:w="1084" w:type="dxa"/>
          </w:tcPr>
          <w:p w14:paraId="3B22D651" w14:textId="77777777" w:rsidR="005F5156" w:rsidRDefault="00F25C35">
            <w:pPr>
              <w:spacing w:line="440" w:lineRule="exact"/>
              <w:jc w:val="center"/>
              <w:rPr>
                <w:rFonts w:ascii="黑体" w:eastAsia="黑体" w:hAnsi="黑体"/>
                <w:b/>
                <w:bCs/>
                <w:sz w:val="24"/>
                <w:szCs w:val="24"/>
              </w:rPr>
            </w:pPr>
            <w:r>
              <w:rPr>
                <w:rFonts w:ascii="黑体" w:eastAsia="黑体" w:hAnsi="黑体" w:hint="eastAsia"/>
                <w:b/>
                <w:bCs/>
                <w:sz w:val="24"/>
                <w:szCs w:val="24"/>
              </w:rPr>
              <w:t>分</w:t>
            </w:r>
            <w:r>
              <w:rPr>
                <w:rFonts w:ascii="黑体" w:eastAsia="黑体" w:hAnsi="黑体" w:hint="eastAsia"/>
                <w:b/>
                <w:bCs/>
                <w:sz w:val="24"/>
                <w:szCs w:val="24"/>
              </w:rPr>
              <w:t xml:space="preserve"> </w:t>
            </w:r>
            <w:r>
              <w:rPr>
                <w:rFonts w:ascii="黑体" w:eastAsia="黑体" w:hAnsi="黑体" w:hint="eastAsia"/>
                <w:b/>
                <w:bCs/>
                <w:sz w:val="24"/>
                <w:szCs w:val="24"/>
              </w:rPr>
              <w:t>值</w:t>
            </w:r>
          </w:p>
        </w:tc>
      </w:tr>
      <w:tr w:rsidR="005F5156" w14:paraId="66AF60D7" w14:textId="77777777">
        <w:trPr>
          <w:trHeight w:val="1157"/>
        </w:trPr>
        <w:tc>
          <w:tcPr>
            <w:tcW w:w="1803" w:type="dxa"/>
            <w:gridSpan w:val="2"/>
            <w:vAlign w:val="center"/>
          </w:tcPr>
          <w:p w14:paraId="79FF86A3"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1.</w:t>
            </w:r>
            <w:r>
              <w:rPr>
                <w:rFonts w:ascii="仿宋_GB2312" w:eastAsia="仿宋_GB2312" w:hint="eastAsia"/>
                <w:sz w:val="21"/>
                <w:szCs w:val="21"/>
              </w:rPr>
              <w:t>教师风范</w:t>
            </w:r>
          </w:p>
        </w:tc>
        <w:tc>
          <w:tcPr>
            <w:tcW w:w="5046" w:type="dxa"/>
          </w:tcPr>
          <w:p w14:paraId="5ADD1E30"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政治立场坚定，积极实施素质教育；师德高尚，爱岗敬业、关爱学生、教书育人、为人师表；学术道德端正、教学科研态度严谨，富有创新协作精神。</w:t>
            </w:r>
          </w:p>
        </w:tc>
        <w:tc>
          <w:tcPr>
            <w:tcW w:w="1084" w:type="dxa"/>
            <w:vAlign w:val="center"/>
          </w:tcPr>
          <w:p w14:paraId="6FDC04C1"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5</w:t>
            </w:r>
          </w:p>
        </w:tc>
      </w:tr>
      <w:tr w:rsidR="005F5156" w14:paraId="251BF302" w14:textId="77777777">
        <w:trPr>
          <w:trHeight w:val="834"/>
        </w:trPr>
        <w:tc>
          <w:tcPr>
            <w:tcW w:w="1097" w:type="dxa"/>
            <w:vMerge w:val="restart"/>
            <w:vAlign w:val="center"/>
          </w:tcPr>
          <w:p w14:paraId="7122F457"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2.</w:t>
            </w:r>
            <w:r>
              <w:rPr>
                <w:rFonts w:ascii="仿宋_GB2312" w:eastAsia="仿宋_GB2312" w:hint="eastAsia"/>
                <w:sz w:val="21"/>
                <w:szCs w:val="21"/>
              </w:rPr>
              <w:t>科学研究与学术水平</w:t>
            </w:r>
          </w:p>
        </w:tc>
        <w:tc>
          <w:tcPr>
            <w:tcW w:w="706" w:type="dxa"/>
            <w:vAlign w:val="center"/>
          </w:tcPr>
          <w:p w14:paraId="65049E72"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科研能力</w:t>
            </w:r>
          </w:p>
        </w:tc>
        <w:tc>
          <w:tcPr>
            <w:tcW w:w="5046" w:type="dxa"/>
          </w:tcPr>
          <w:p w14:paraId="7D3F6A88"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主持或承担多项高级别科研项目，科研成果多，获省部级以上奖励。</w:t>
            </w:r>
          </w:p>
        </w:tc>
        <w:tc>
          <w:tcPr>
            <w:tcW w:w="1084" w:type="dxa"/>
            <w:vAlign w:val="center"/>
          </w:tcPr>
          <w:p w14:paraId="04E6CB8F"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10</w:t>
            </w:r>
          </w:p>
        </w:tc>
      </w:tr>
      <w:tr w:rsidR="005F5156" w14:paraId="0B2196B7" w14:textId="77777777">
        <w:trPr>
          <w:trHeight w:val="846"/>
        </w:trPr>
        <w:tc>
          <w:tcPr>
            <w:tcW w:w="1097" w:type="dxa"/>
            <w:vMerge/>
            <w:vAlign w:val="center"/>
          </w:tcPr>
          <w:p w14:paraId="3C466732" w14:textId="77777777" w:rsidR="005F5156" w:rsidRDefault="005F5156">
            <w:pPr>
              <w:spacing w:line="360" w:lineRule="exact"/>
              <w:jc w:val="center"/>
              <w:rPr>
                <w:rFonts w:ascii="仿宋_GB2312" w:eastAsia="仿宋_GB2312"/>
                <w:sz w:val="21"/>
                <w:szCs w:val="21"/>
              </w:rPr>
            </w:pPr>
          </w:p>
        </w:tc>
        <w:tc>
          <w:tcPr>
            <w:tcW w:w="706" w:type="dxa"/>
            <w:vAlign w:val="center"/>
          </w:tcPr>
          <w:p w14:paraId="73F1D056"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学术成就</w:t>
            </w:r>
          </w:p>
        </w:tc>
        <w:tc>
          <w:tcPr>
            <w:tcW w:w="5046" w:type="dxa"/>
          </w:tcPr>
          <w:p w14:paraId="1ED27804"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出版多部科研专著或发表多篇高质量的科研论文，科研成果的学术意义或社会经济效益大。</w:t>
            </w:r>
          </w:p>
        </w:tc>
        <w:tc>
          <w:tcPr>
            <w:tcW w:w="1084" w:type="dxa"/>
            <w:vAlign w:val="center"/>
          </w:tcPr>
          <w:p w14:paraId="0B530633"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10</w:t>
            </w:r>
          </w:p>
        </w:tc>
      </w:tr>
      <w:tr w:rsidR="005F5156" w14:paraId="30900811" w14:textId="77777777">
        <w:trPr>
          <w:trHeight w:val="1978"/>
        </w:trPr>
        <w:tc>
          <w:tcPr>
            <w:tcW w:w="1097" w:type="dxa"/>
            <w:vMerge w:val="restart"/>
            <w:vAlign w:val="center"/>
          </w:tcPr>
          <w:p w14:paraId="229FA933"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3.</w:t>
            </w:r>
            <w:r>
              <w:rPr>
                <w:rFonts w:ascii="仿宋_GB2312" w:eastAsia="仿宋_GB2312" w:hint="eastAsia"/>
                <w:sz w:val="21"/>
                <w:szCs w:val="21"/>
              </w:rPr>
              <w:t>教学改革与成效</w:t>
            </w:r>
          </w:p>
        </w:tc>
        <w:tc>
          <w:tcPr>
            <w:tcW w:w="706" w:type="dxa"/>
            <w:vAlign w:val="center"/>
          </w:tcPr>
          <w:p w14:paraId="622ABE46"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教学改革与成就</w:t>
            </w:r>
          </w:p>
        </w:tc>
        <w:tc>
          <w:tcPr>
            <w:tcW w:w="5046" w:type="dxa"/>
          </w:tcPr>
          <w:p w14:paraId="1CD27ED7"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主持过重大教改项目，在教学内容、教学方法改革方面取得突出成绩，做出重要贡献，获得省部级以上奖励；发表多篇高质量的教改教研论文或出版具有一定影响的教改教研专著。自编、主编高水平、有特色、版本新的教材，获省部级以上奖励。</w:t>
            </w:r>
          </w:p>
        </w:tc>
        <w:tc>
          <w:tcPr>
            <w:tcW w:w="1084" w:type="dxa"/>
            <w:vAlign w:val="center"/>
          </w:tcPr>
          <w:p w14:paraId="5258B7CD"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20</w:t>
            </w:r>
          </w:p>
        </w:tc>
      </w:tr>
      <w:tr w:rsidR="005F5156" w14:paraId="2CE8BC9E" w14:textId="77777777">
        <w:trPr>
          <w:trHeight w:val="1255"/>
        </w:trPr>
        <w:tc>
          <w:tcPr>
            <w:tcW w:w="1097" w:type="dxa"/>
            <w:vMerge/>
            <w:vAlign w:val="center"/>
          </w:tcPr>
          <w:p w14:paraId="209250CA" w14:textId="77777777" w:rsidR="005F5156" w:rsidRDefault="005F5156">
            <w:pPr>
              <w:spacing w:line="360" w:lineRule="exact"/>
              <w:jc w:val="center"/>
              <w:rPr>
                <w:rFonts w:ascii="仿宋_GB2312" w:eastAsia="仿宋_GB2312"/>
                <w:sz w:val="21"/>
                <w:szCs w:val="21"/>
              </w:rPr>
            </w:pPr>
          </w:p>
        </w:tc>
        <w:tc>
          <w:tcPr>
            <w:tcW w:w="706" w:type="dxa"/>
            <w:vAlign w:val="center"/>
          </w:tcPr>
          <w:p w14:paraId="28321C57"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教学效果</w:t>
            </w:r>
          </w:p>
        </w:tc>
        <w:tc>
          <w:tcPr>
            <w:tcW w:w="5046" w:type="dxa"/>
          </w:tcPr>
          <w:p w14:paraId="25760FF9"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教学效果好，主讲课程在全国同领域内有较大影响；形成独特而有效的教学风格，在国内起到示范作用；获得过省级以上教学比赛奖励；学生评价优秀。</w:t>
            </w:r>
          </w:p>
        </w:tc>
        <w:tc>
          <w:tcPr>
            <w:tcW w:w="1084" w:type="dxa"/>
            <w:vAlign w:val="center"/>
          </w:tcPr>
          <w:p w14:paraId="3D4F792E"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15</w:t>
            </w:r>
          </w:p>
        </w:tc>
      </w:tr>
      <w:tr w:rsidR="005F5156" w14:paraId="405E2E00" w14:textId="77777777">
        <w:trPr>
          <w:trHeight w:val="2266"/>
        </w:trPr>
        <w:tc>
          <w:tcPr>
            <w:tcW w:w="1097" w:type="dxa"/>
            <w:vMerge w:val="restart"/>
            <w:vAlign w:val="center"/>
          </w:tcPr>
          <w:p w14:paraId="7798CA3E"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4.</w:t>
            </w:r>
            <w:r>
              <w:rPr>
                <w:rFonts w:ascii="仿宋_GB2312" w:eastAsia="仿宋_GB2312" w:hint="eastAsia"/>
                <w:sz w:val="21"/>
                <w:szCs w:val="21"/>
              </w:rPr>
              <w:t>教学能力与水平</w:t>
            </w:r>
          </w:p>
        </w:tc>
        <w:tc>
          <w:tcPr>
            <w:tcW w:w="706" w:type="dxa"/>
            <w:vAlign w:val="center"/>
          </w:tcPr>
          <w:p w14:paraId="3B93AC5A"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现场教学内容</w:t>
            </w:r>
          </w:p>
        </w:tc>
        <w:tc>
          <w:tcPr>
            <w:tcW w:w="5046" w:type="dxa"/>
          </w:tcPr>
          <w:p w14:paraId="2B47CE0A"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遵循教育规律和人才成长规律，教育思想先进，符合时代要求；贯彻立德树人的具体要求，突出课程思政；教学内容、教学设计安排合理，条理性强，符合认知规律；理论联系实际，注重学生综合素质和能力培养；能及时把国内外教改成果以及学科最新发展成果引入教学，信息量大，达到国际同类课程水平。</w:t>
            </w:r>
            <w:r>
              <w:rPr>
                <w:rFonts w:ascii="仿宋_GB2312" w:eastAsia="仿宋_GB2312" w:hint="eastAsia"/>
                <w:sz w:val="21"/>
                <w:szCs w:val="21"/>
              </w:rPr>
              <w:t xml:space="preserve"> </w:t>
            </w:r>
          </w:p>
        </w:tc>
        <w:tc>
          <w:tcPr>
            <w:tcW w:w="1084" w:type="dxa"/>
            <w:vAlign w:val="center"/>
          </w:tcPr>
          <w:p w14:paraId="7CB82B33"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20</w:t>
            </w:r>
          </w:p>
        </w:tc>
      </w:tr>
      <w:tr w:rsidR="005F5156" w14:paraId="354109A1" w14:textId="77777777">
        <w:trPr>
          <w:trHeight w:val="1833"/>
        </w:trPr>
        <w:tc>
          <w:tcPr>
            <w:tcW w:w="1097" w:type="dxa"/>
            <w:vMerge/>
          </w:tcPr>
          <w:p w14:paraId="7817942F" w14:textId="77777777" w:rsidR="005F5156" w:rsidRDefault="005F5156">
            <w:pPr>
              <w:spacing w:line="360" w:lineRule="exact"/>
              <w:jc w:val="left"/>
              <w:rPr>
                <w:rFonts w:ascii="仿宋_GB2312" w:eastAsia="仿宋_GB2312"/>
                <w:sz w:val="21"/>
                <w:szCs w:val="21"/>
              </w:rPr>
            </w:pPr>
          </w:p>
        </w:tc>
        <w:tc>
          <w:tcPr>
            <w:tcW w:w="706" w:type="dxa"/>
            <w:vAlign w:val="center"/>
          </w:tcPr>
          <w:p w14:paraId="3B9CB547"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现场教学组织</w:t>
            </w:r>
          </w:p>
        </w:tc>
        <w:tc>
          <w:tcPr>
            <w:tcW w:w="5046" w:type="dxa"/>
          </w:tcPr>
          <w:p w14:paraId="05E33558" w14:textId="77777777" w:rsidR="005F5156" w:rsidRDefault="00F25C35">
            <w:pPr>
              <w:spacing w:line="360" w:lineRule="exact"/>
              <w:jc w:val="left"/>
              <w:rPr>
                <w:rFonts w:ascii="仿宋_GB2312" w:eastAsia="仿宋_GB2312"/>
                <w:sz w:val="21"/>
                <w:szCs w:val="21"/>
              </w:rPr>
            </w:pPr>
            <w:r>
              <w:rPr>
                <w:rFonts w:ascii="仿宋_GB2312" w:eastAsia="仿宋_GB2312" w:hint="eastAsia"/>
                <w:sz w:val="21"/>
                <w:szCs w:val="21"/>
              </w:rPr>
              <w:t>教学过程注重学思结合，注重因材施教，教学设计方案体现完整；启发性强，能有效调动学习兴趣，培育学生的主动精神和创造性思维；科学、合理、有效地运用多媒体等现代教育技术；注重知行统一；</w:t>
            </w:r>
            <w:proofErr w:type="gramStart"/>
            <w:r>
              <w:rPr>
                <w:rFonts w:ascii="仿宋_GB2312" w:eastAsia="仿宋_GB2312" w:hint="eastAsia"/>
                <w:sz w:val="21"/>
                <w:szCs w:val="21"/>
              </w:rPr>
              <w:t>教态仪表</w:t>
            </w:r>
            <w:proofErr w:type="gramEnd"/>
            <w:r>
              <w:rPr>
                <w:rFonts w:ascii="仿宋_GB2312" w:eastAsia="仿宋_GB2312" w:hint="eastAsia"/>
                <w:sz w:val="21"/>
                <w:szCs w:val="21"/>
              </w:rPr>
              <w:t>自然得体、语言清晰流畅、精</w:t>
            </w:r>
            <w:r>
              <w:rPr>
                <w:rFonts w:ascii="仿宋_GB2312" w:eastAsia="仿宋_GB2312" w:hint="eastAsia"/>
                <w:sz w:val="21"/>
                <w:szCs w:val="21"/>
              </w:rPr>
              <w:t>神饱满，亲和力强。</w:t>
            </w:r>
          </w:p>
        </w:tc>
        <w:tc>
          <w:tcPr>
            <w:tcW w:w="1084" w:type="dxa"/>
            <w:vAlign w:val="center"/>
          </w:tcPr>
          <w:p w14:paraId="78822E8F" w14:textId="77777777" w:rsidR="005F5156" w:rsidRDefault="00F25C35">
            <w:pPr>
              <w:spacing w:line="360" w:lineRule="exact"/>
              <w:jc w:val="center"/>
              <w:rPr>
                <w:rFonts w:ascii="仿宋_GB2312" w:eastAsia="仿宋_GB2312"/>
                <w:sz w:val="21"/>
                <w:szCs w:val="21"/>
              </w:rPr>
            </w:pPr>
            <w:r>
              <w:rPr>
                <w:rFonts w:ascii="仿宋_GB2312" w:eastAsia="仿宋_GB2312" w:hint="eastAsia"/>
                <w:sz w:val="21"/>
                <w:szCs w:val="21"/>
              </w:rPr>
              <w:t>20</w:t>
            </w:r>
          </w:p>
        </w:tc>
      </w:tr>
      <w:tr w:rsidR="005F5156" w14:paraId="4395EA79" w14:textId="77777777">
        <w:trPr>
          <w:trHeight w:val="996"/>
        </w:trPr>
        <w:tc>
          <w:tcPr>
            <w:tcW w:w="6849" w:type="dxa"/>
            <w:gridSpan w:val="3"/>
            <w:noWrap/>
            <w:vAlign w:val="center"/>
          </w:tcPr>
          <w:p w14:paraId="1B1B2BB3" w14:textId="77777777" w:rsidR="005F5156" w:rsidRDefault="00F25C35">
            <w:pPr>
              <w:spacing w:line="360" w:lineRule="exact"/>
              <w:jc w:val="center"/>
              <w:rPr>
                <w:rFonts w:ascii="仿宋_GB2312" w:eastAsia="仿宋_GB2312"/>
                <w:b/>
                <w:sz w:val="21"/>
                <w:szCs w:val="21"/>
              </w:rPr>
            </w:pPr>
            <w:r>
              <w:rPr>
                <w:rFonts w:ascii="仿宋_GB2312" w:eastAsia="仿宋_GB2312" w:hint="eastAsia"/>
                <w:b/>
                <w:sz w:val="21"/>
                <w:szCs w:val="21"/>
              </w:rPr>
              <w:t>合计</w:t>
            </w:r>
          </w:p>
        </w:tc>
        <w:tc>
          <w:tcPr>
            <w:tcW w:w="1084" w:type="dxa"/>
            <w:noWrap/>
            <w:vAlign w:val="center"/>
          </w:tcPr>
          <w:p w14:paraId="7C682D11" w14:textId="77777777" w:rsidR="005F5156" w:rsidRDefault="00F25C35">
            <w:pPr>
              <w:spacing w:line="360" w:lineRule="exact"/>
              <w:jc w:val="center"/>
              <w:rPr>
                <w:rFonts w:ascii="仿宋_GB2312" w:eastAsia="仿宋_GB2312"/>
                <w:b/>
                <w:sz w:val="21"/>
                <w:szCs w:val="21"/>
              </w:rPr>
            </w:pPr>
            <w:r>
              <w:rPr>
                <w:rFonts w:ascii="仿宋_GB2312" w:eastAsia="仿宋_GB2312" w:hint="eastAsia"/>
                <w:b/>
                <w:sz w:val="21"/>
                <w:szCs w:val="21"/>
              </w:rPr>
              <w:t>100</w:t>
            </w:r>
          </w:p>
        </w:tc>
      </w:tr>
    </w:tbl>
    <w:p w14:paraId="69510330" w14:textId="77777777" w:rsidR="005F5156" w:rsidRDefault="005F5156"/>
    <w:p w14:paraId="63F44378" w14:textId="77777777" w:rsidR="005F5156" w:rsidRDefault="005F5156">
      <w:pPr>
        <w:jc w:val="center"/>
        <w:rPr>
          <w:rFonts w:ascii="仿宋_GB2312" w:eastAsia="仿宋_GB2312"/>
          <w:b/>
          <w:kern w:val="2"/>
          <w:sz w:val="36"/>
          <w:szCs w:val="36"/>
        </w:rPr>
      </w:pPr>
    </w:p>
    <w:sectPr w:rsidR="005F5156">
      <w:pgSz w:w="11906" w:h="16838"/>
      <w:pgMar w:top="1135" w:right="1803" w:bottom="568"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2BAC" w14:textId="77777777" w:rsidR="00F25C35" w:rsidRDefault="00F25C35">
      <w:pPr>
        <w:spacing w:line="240" w:lineRule="auto"/>
      </w:pPr>
      <w:r>
        <w:separator/>
      </w:r>
    </w:p>
  </w:endnote>
  <w:endnote w:type="continuationSeparator" w:id="0">
    <w:p w14:paraId="2B77B2FB" w14:textId="77777777" w:rsidR="00F25C35" w:rsidRDefault="00F25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BA3F" w14:textId="77777777" w:rsidR="00F25C35" w:rsidRDefault="00F25C35">
      <w:pPr>
        <w:spacing w:line="240" w:lineRule="auto"/>
      </w:pPr>
      <w:r>
        <w:separator/>
      </w:r>
    </w:p>
  </w:footnote>
  <w:footnote w:type="continuationSeparator" w:id="0">
    <w:p w14:paraId="347C114A" w14:textId="77777777" w:rsidR="00F25C35" w:rsidRDefault="00F25C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1ZmNkOWFjZmQ1Yzg3ZmQ0N2U3NjNmM2U4NWJhZGEifQ=="/>
  </w:docVars>
  <w:rsids>
    <w:rsidRoot w:val="00416316"/>
    <w:rsid w:val="0000409E"/>
    <w:rsid w:val="00016C60"/>
    <w:rsid w:val="00074D68"/>
    <w:rsid w:val="000838AD"/>
    <w:rsid w:val="000B169D"/>
    <w:rsid w:val="000C71AF"/>
    <w:rsid w:val="00167090"/>
    <w:rsid w:val="0016758F"/>
    <w:rsid w:val="00183826"/>
    <w:rsid w:val="001B52B3"/>
    <w:rsid w:val="001B6F93"/>
    <w:rsid w:val="001C072D"/>
    <w:rsid w:val="001E0A0C"/>
    <w:rsid w:val="001F0A07"/>
    <w:rsid w:val="002036C2"/>
    <w:rsid w:val="00244039"/>
    <w:rsid w:val="002448F9"/>
    <w:rsid w:val="002574FB"/>
    <w:rsid w:val="00270CFC"/>
    <w:rsid w:val="00276355"/>
    <w:rsid w:val="002E5F96"/>
    <w:rsid w:val="002F73BE"/>
    <w:rsid w:val="00355D77"/>
    <w:rsid w:val="003659E5"/>
    <w:rsid w:val="003A1A42"/>
    <w:rsid w:val="003F1002"/>
    <w:rsid w:val="004002FD"/>
    <w:rsid w:val="0040768B"/>
    <w:rsid w:val="00416316"/>
    <w:rsid w:val="0041745A"/>
    <w:rsid w:val="00423FE0"/>
    <w:rsid w:val="00447EC5"/>
    <w:rsid w:val="00457F86"/>
    <w:rsid w:val="00496B6C"/>
    <w:rsid w:val="004A36C1"/>
    <w:rsid w:val="004D299E"/>
    <w:rsid w:val="00506E2B"/>
    <w:rsid w:val="00582F08"/>
    <w:rsid w:val="005A3F76"/>
    <w:rsid w:val="005F04D9"/>
    <w:rsid w:val="005F202B"/>
    <w:rsid w:val="005F5156"/>
    <w:rsid w:val="00620852"/>
    <w:rsid w:val="006213BF"/>
    <w:rsid w:val="00650C20"/>
    <w:rsid w:val="00660C2E"/>
    <w:rsid w:val="00680362"/>
    <w:rsid w:val="00680AA3"/>
    <w:rsid w:val="006A0E20"/>
    <w:rsid w:val="00715023"/>
    <w:rsid w:val="007712A3"/>
    <w:rsid w:val="00786BC3"/>
    <w:rsid w:val="007A39A0"/>
    <w:rsid w:val="007D5FE4"/>
    <w:rsid w:val="007F7E2F"/>
    <w:rsid w:val="00877A49"/>
    <w:rsid w:val="00881BF1"/>
    <w:rsid w:val="008D6763"/>
    <w:rsid w:val="008E7D80"/>
    <w:rsid w:val="00924319"/>
    <w:rsid w:val="00934405"/>
    <w:rsid w:val="009424BA"/>
    <w:rsid w:val="0094340D"/>
    <w:rsid w:val="00953309"/>
    <w:rsid w:val="0096189A"/>
    <w:rsid w:val="00967638"/>
    <w:rsid w:val="009F22E2"/>
    <w:rsid w:val="00A04EE9"/>
    <w:rsid w:val="00A07D24"/>
    <w:rsid w:val="00A216B4"/>
    <w:rsid w:val="00A4030C"/>
    <w:rsid w:val="00A824FB"/>
    <w:rsid w:val="00AE1774"/>
    <w:rsid w:val="00AF452D"/>
    <w:rsid w:val="00B671BE"/>
    <w:rsid w:val="00BE6987"/>
    <w:rsid w:val="00BF45E2"/>
    <w:rsid w:val="00C50F74"/>
    <w:rsid w:val="00C57C88"/>
    <w:rsid w:val="00C60A8D"/>
    <w:rsid w:val="00C61E0C"/>
    <w:rsid w:val="00CA5DAA"/>
    <w:rsid w:val="00CB1736"/>
    <w:rsid w:val="00CD1891"/>
    <w:rsid w:val="00CF10BB"/>
    <w:rsid w:val="00CF2474"/>
    <w:rsid w:val="00D10C9F"/>
    <w:rsid w:val="00D35DA1"/>
    <w:rsid w:val="00D50602"/>
    <w:rsid w:val="00D96079"/>
    <w:rsid w:val="00DB5205"/>
    <w:rsid w:val="00DB53BE"/>
    <w:rsid w:val="00DC56AE"/>
    <w:rsid w:val="00DC5CEB"/>
    <w:rsid w:val="00F12CE3"/>
    <w:rsid w:val="00F14351"/>
    <w:rsid w:val="00F25C35"/>
    <w:rsid w:val="00F551F7"/>
    <w:rsid w:val="00F70E33"/>
    <w:rsid w:val="00F808DC"/>
    <w:rsid w:val="00FB0444"/>
    <w:rsid w:val="108A4FA0"/>
    <w:rsid w:val="1D8438FE"/>
    <w:rsid w:val="2DB72CF5"/>
    <w:rsid w:val="2FAD7DDA"/>
    <w:rsid w:val="342B1D46"/>
    <w:rsid w:val="4CA45BE3"/>
    <w:rsid w:val="5006518B"/>
    <w:rsid w:val="593037D7"/>
    <w:rsid w:val="634B625C"/>
    <w:rsid w:val="7E896C87"/>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8B5D"/>
  <w15:docId w15:val="{F2CE641D-D59C-4E42-A39E-325891DC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jc w:val="both"/>
    </w:pPr>
    <w:rPr>
      <w:rFonts w:ascii="Times New Roman" w:eastAsia="宋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widowControl w:val="0"/>
      <w:tabs>
        <w:tab w:val="center" w:pos="4153"/>
        <w:tab w:val="right" w:pos="8306"/>
      </w:tabs>
      <w:snapToGrid w:val="0"/>
      <w:spacing w:line="240" w:lineRule="auto"/>
      <w:jc w:val="left"/>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tabs>
        <w:tab w:val="center" w:pos="4153"/>
        <w:tab w:val="right" w:pos="8306"/>
      </w:tabs>
      <w:snapToGrid w:val="0"/>
      <w:spacing w:line="240" w:lineRule="auto"/>
      <w:jc w:val="center"/>
    </w:pPr>
    <w:rPr>
      <w:rFonts w:asciiTheme="minorHAnsi" w:eastAsiaTheme="minorEastAsia" w:hAnsiTheme="minorHAnsi" w:cstheme="minorBidi"/>
      <w:kern w:val="2"/>
      <w:sz w:val="18"/>
      <w:szCs w:val="18"/>
    </w:rPr>
  </w:style>
  <w:style w:type="table" w:styleId="a9">
    <w:name w:val="Table Grid"/>
    <w:basedOn w:val="a1"/>
    <w:uiPriority w:val="39"/>
    <w:qFormat/>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108</Words>
  <Characters>620</Characters>
  <Application>Microsoft Office Word</Application>
  <DocSecurity>0</DocSecurity>
  <Lines>5</Lines>
  <Paragraphs>1</Paragraphs>
  <ScaleCrop>false</ScaleCrop>
  <Company>神州网信技术有限公司</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朱永梅</dc:creator>
  <cp:lastModifiedBy>卢菁</cp:lastModifiedBy>
  <cp:revision>106</cp:revision>
  <cp:lastPrinted>2024-05-22T03:21:00Z</cp:lastPrinted>
  <dcterms:created xsi:type="dcterms:W3CDTF">2023-06-14T06:43:00Z</dcterms:created>
  <dcterms:modified xsi:type="dcterms:W3CDTF">2026-05-07T09:15:00Z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1C55D3B07D9D41D8A27291FFA4DF60FD_12</vt:lpwstr>
  </property>
  <property fmtid="{D5CDD505-2E9C-101B-9397-08002B2CF9AE}" pid="4" name="KSOTemplateDocerSaveRecord">
    <vt:lpwstr>eyJoZGlkIjoiMGY1ZmNkOWFjZmQ1Yzg3ZmQ0N2U3NjNmM2U4NWJhZGEiLCJ1c2VySWQiOiIxNjgzOTI1NjEzIn0=</vt:lpwstr>
  </property>
</Properties>
</file>