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7E1E7">
      <w:pPr>
        <w:pStyle w:val="2"/>
        <w:ind w:firstLine="0" w:firstLineChars="0"/>
        <w:jc w:val="center"/>
        <w:rPr>
          <w:rFonts w:hint="default" w:ascii="黑体" w:hAnsi="黑体" w:eastAsia="黑体" w:cs="黑体"/>
          <w:sz w:val="36"/>
          <w:szCs w:val="36"/>
          <w:lang w:val="en-US" w:eastAsia="zh-CN" w:bidi="en-US"/>
        </w:rPr>
      </w:pPr>
      <w:bookmarkStart w:id="0" w:name="_Hlk183700531"/>
      <w:r>
        <w:rPr>
          <w:rFonts w:hint="eastAsia" w:ascii="黑体" w:hAnsi="黑体" w:eastAsia="黑体" w:cs="黑体"/>
          <w:sz w:val="36"/>
          <w:szCs w:val="36"/>
          <w:lang w:bidi="en-US"/>
        </w:rPr>
        <w:t>第</w:t>
      </w:r>
      <w:r>
        <w:rPr>
          <w:rFonts w:hint="eastAsia" w:ascii="黑体" w:hAnsi="黑体" w:eastAsia="黑体" w:cs="黑体"/>
          <w:sz w:val="36"/>
          <w:szCs w:val="36"/>
          <w:lang w:val="en-US" w:eastAsia="zh-CN" w:bidi="en-US"/>
        </w:rPr>
        <w:t>七</w:t>
      </w:r>
      <w:r>
        <w:rPr>
          <w:rFonts w:hint="eastAsia" w:ascii="黑体" w:hAnsi="黑体" w:eastAsia="黑体" w:cs="黑体"/>
          <w:sz w:val="36"/>
          <w:szCs w:val="36"/>
          <w:lang w:bidi="en-US"/>
        </w:rPr>
        <w:t>届华南农业大学教师教学创新大赛</w:t>
      </w:r>
      <w:r>
        <w:rPr>
          <w:rFonts w:hint="eastAsia" w:ascii="黑体" w:hAnsi="黑体" w:eastAsia="黑体" w:cs="黑体"/>
          <w:sz w:val="36"/>
          <w:szCs w:val="36"/>
          <w:lang w:val="en-US" w:eastAsia="zh-CN" w:bidi="en-US"/>
        </w:rPr>
        <w:t>评分表</w:t>
      </w:r>
    </w:p>
    <w:bookmarkEnd w:id="0"/>
    <w:p w14:paraId="58169098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28"/>
          <w:szCs w:val="28"/>
          <w:lang w:val="en-US" w:eastAsia="zh-CN" w:bidi="en-US"/>
        </w:rPr>
      </w:pPr>
    </w:p>
    <w:p w14:paraId="7D4A6ABE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  <w:t>一、教学创新成果报告评分表</w:t>
      </w:r>
      <w:bookmarkStart w:id="1" w:name="_Hlk183700320"/>
    </w:p>
    <w:p w14:paraId="7605B89D">
      <w:pPr>
        <w:widowControl/>
        <w:jc w:val="center"/>
        <w:rPr>
          <w:rFonts w:hint="eastAsia" w:ascii="方正公文仿宋" w:hAnsi="方正公文仿宋" w:eastAsia="方正公文仿宋" w:cs="方正公文仿宋"/>
          <w:b w:val="0"/>
          <w:bCs w:val="0"/>
          <w:color w:val="000000"/>
          <w:kern w:val="0"/>
          <w:sz w:val="28"/>
          <w:szCs w:val="28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color w:val="000000"/>
          <w:kern w:val="0"/>
          <w:sz w:val="28"/>
          <w:szCs w:val="28"/>
          <w:lang w:val="en-US" w:eastAsia="zh-CN" w:bidi="en-US"/>
        </w:rPr>
        <w:t>（新工科、新农科、新文科、基础课程、人工智能、实践教学赛道）</w:t>
      </w:r>
      <w:bookmarkEnd w:id="1"/>
    </w:p>
    <w:tbl>
      <w:tblPr>
        <w:tblStyle w:val="3"/>
        <w:tblW w:w="6875" w:type="dxa"/>
        <w:tblInd w:w="1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3886"/>
        <w:gridCol w:w="1364"/>
      </w:tblGrid>
      <w:tr w14:paraId="3023F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25" w:type="dxa"/>
            <w:vAlign w:val="center"/>
          </w:tcPr>
          <w:p w14:paraId="54886142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评价维度</w:t>
            </w:r>
          </w:p>
        </w:tc>
        <w:tc>
          <w:tcPr>
            <w:tcW w:w="3886" w:type="dxa"/>
            <w:vAlign w:val="center"/>
          </w:tcPr>
          <w:p w14:paraId="0F08157E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评价要点</w:t>
            </w:r>
          </w:p>
        </w:tc>
        <w:tc>
          <w:tcPr>
            <w:tcW w:w="1364" w:type="dxa"/>
            <w:vAlign w:val="center"/>
          </w:tcPr>
          <w:p w14:paraId="45E58AC9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bidi="en-US"/>
              </w:rPr>
              <w:t>分值</w:t>
            </w:r>
          </w:p>
        </w:tc>
      </w:tr>
      <w:tr w14:paraId="401B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1625" w:type="dxa"/>
            <w:vAlign w:val="center"/>
          </w:tcPr>
          <w:p w14:paraId="181F0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有明确的</w:t>
            </w:r>
          </w:p>
          <w:p w14:paraId="79AAF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问题导向</w:t>
            </w:r>
          </w:p>
        </w:tc>
        <w:tc>
          <w:tcPr>
            <w:tcW w:w="3886" w:type="dxa"/>
            <w:vAlign w:val="center"/>
          </w:tcPr>
          <w:p w14:paraId="2E0DA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立足于课堂教学真实问题，能体现“以学生发展为中心”的理念，提出解决问题的思路与方案。</w:t>
            </w:r>
          </w:p>
        </w:tc>
        <w:tc>
          <w:tcPr>
            <w:tcW w:w="1364" w:type="dxa"/>
            <w:vAlign w:val="center"/>
          </w:tcPr>
          <w:p w14:paraId="2B0CAAD0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7251E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</w:trPr>
        <w:tc>
          <w:tcPr>
            <w:tcW w:w="1625" w:type="dxa"/>
            <w:vAlign w:val="center"/>
          </w:tcPr>
          <w:p w14:paraId="22D76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有明显的</w:t>
            </w:r>
          </w:p>
          <w:p w14:paraId="3D912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创新特色</w:t>
            </w:r>
          </w:p>
        </w:tc>
        <w:tc>
          <w:tcPr>
            <w:tcW w:w="3886" w:type="dxa"/>
            <w:vAlign w:val="center"/>
          </w:tcPr>
          <w:p w14:paraId="03D4B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把“四新”建设要求贯穿到教学过程中，对教学目标、内容、方法、活动、评价等教学过程各环节分析全面、透彻，能够凸显教学创新点。</w:t>
            </w:r>
          </w:p>
        </w:tc>
        <w:tc>
          <w:tcPr>
            <w:tcW w:w="1364" w:type="dxa"/>
            <w:vAlign w:val="center"/>
          </w:tcPr>
          <w:p w14:paraId="4FC7BE2E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49A74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625" w:type="dxa"/>
            <w:vAlign w:val="center"/>
          </w:tcPr>
          <w:p w14:paraId="38E39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体现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课程</w:t>
            </w:r>
          </w:p>
          <w:p w14:paraId="0E175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思政特色</w:t>
            </w:r>
          </w:p>
        </w:tc>
        <w:tc>
          <w:tcPr>
            <w:tcW w:w="3886" w:type="dxa"/>
            <w:vAlign w:val="center"/>
          </w:tcPr>
          <w:p w14:paraId="31243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概述在课程思政建设方面的特色、亮点和创新点，形成可供借鉴推广的经验做法。</w:t>
            </w:r>
          </w:p>
        </w:tc>
        <w:tc>
          <w:tcPr>
            <w:tcW w:w="1364" w:type="dxa"/>
            <w:vAlign w:val="center"/>
          </w:tcPr>
          <w:p w14:paraId="0FF2C376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3BB00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1625" w:type="dxa"/>
            <w:vAlign w:val="center"/>
          </w:tcPr>
          <w:p w14:paraId="5E49B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关注技术</w:t>
            </w:r>
          </w:p>
          <w:p w14:paraId="4DCEC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应用于教学</w:t>
            </w:r>
          </w:p>
        </w:tc>
        <w:tc>
          <w:tcPr>
            <w:tcW w:w="3886" w:type="dxa"/>
            <w:vAlign w:val="center"/>
          </w:tcPr>
          <w:p w14:paraId="1193F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能够把握新时代下学生学习特点，充分利用现代信息技术开展课程教学活动和学习评价。</w:t>
            </w:r>
          </w:p>
        </w:tc>
        <w:tc>
          <w:tcPr>
            <w:tcW w:w="1364" w:type="dxa"/>
            <w:vAlign w:val="center"/>
          </w:tcPr>
          <w:p w14:paraId="3CDC5781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1A4F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1625" w:type="dxa"/>
            <w:vAlign w:val="center"/>
          </w:tcPr>
          <w:p w14:paraId="26B16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注重创新</w:t>
            </w:r>
          </w:p>
          <w:p w14:paraId="7DE2C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成果的辐射</w:t>
            </w:r>
          </w:p>
        </w:tc>
        <w:tc>
          <w:tcPr>
            <w:tcW w:w="3886" w:type="dxa"/>
            <w:vAlign w:val="center"/>
          </w:tcPr>
          <w:p w14:paraId="00200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能够对创新实践成效开展基于证据的有效分析与总结，形成具有较强辐射推广价值的教学新方法、新模式。</w:t>
            </w:r>
          </w:p>
        </w:tc>
        <w:tc>
          <w:tcPr>
            <w:tcW w:w="1364" w:type="dxa"/>
            <w:vAlign w:val="center"/>
          </w:tcPr>
          <w:p w14:paraId="088AA3C6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7A1A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511" w:type="dxa"/>
            <w:gridSpan w:val="2"/>
            <w:vAlign w:val="center"/>
          </w:tcPr>
          <w:p w14:paraId="7A391153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合计</w:t>
            </w:r>
          </w:p>
        </w:tc>
        <w:tc>
          <w:tcPr>
            <w:tcW w:w="1364" w:type="dxa"/>
            <w:vAlign w:val="center"/>
          </w:tcPr>
          <w:p w14:paraId="7A5A8C91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100</w:t>
            </w:r>
          </w:p>
        </w:tc>
      </w:tr>
    </w:tbl>
    <w:p w14:paraId="7161ABF9">
      <w:pPr>
        <w:widowControl/>
        <w:jc w:val="left"/>
        <w:rPr>
          <w:rFonts w:hint="eastAsia" w:eastAsia="黑体"/>
          <w:bCs/>
          <w:color w:val="000000"/>
          <w:kern w:val="0"/>
          <w:sz w:val="28"/>
          <w:szCs w:val="28"/>
          <w:lang w:bidi="en-US"/>
        </w:rPr>
      </w:pPr>
    </w:p>
    <w:p w14:paraId="7A1055E8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28"/>
          <w:szCs w:val="28"/>
          <w:lang w:val="en-US" w:eastAsia="zh-CN" w:bidi="en-US"/>
        </w:rPr>
      </w:pPr>
    </w:p>
    <w:p w14:paraId="24DC6D7F">
      <w:pPr>
        <w:pStyle w:val="2"/>
        <w:rPr>
          <w:rFonts w:hint="eastAsia"/>
          <w:lang w:val="en-US" w:eastAsia="zh-CN"/>
        </w:rPr>
      </w:pPr>
    </w:p>
    <w:p w14:paraId="78D66F2D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  <w:t>二、教学设计创新汇报评分表</w:t>
      </w:r>
    </w:p>
    <w:p w14:paraId="21D11831">
      <w:pPr>
        <w:widowControl/>
        <w:jc w:val="center"/>
        <w:rPr>
          <w:rFonts w:hint="eastAsia" w:ascii="方正公文仿宋" w:hAnsi="方正公文仿宋" w:eastAsia="方正公文仿宋" w:cs="方正公文仿宋"/>
          <w:b w:val="0"/>
          <w:bCs w:val="0"/>
          <w:color w:val="000000"/>
          <w:kern w:val="0"/>
          <w:sz w:val="28"/>
          <w:szCs w:val="28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color w:val="000000"/>
          <w:kern w:val="0"/>
          <w:sz w:val="28"/>
          <w:szCs w:val="28"/>
          <w:lang w:val="en-US" w:eastAsia="zh-CN" w:bidi="en-US"/>
        </w:rPr>
        <w:t>（新工科、新农科、新文科、基础课程、人工智能、实践教学赛道）</w:t>
      </w:r>
    </w:p>
    <w:tbl>
      <w:tblPr>
        <w:tblStyle w:val="3"/>
        <w:tblW w:w="9349" w:type="dxa"/>
        <w:tblInd w:w="4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7217"/>
        <w:gridCol w:w="757"/>
      </w:tblGrid>
      <w:tr w14:paraId="01081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Align w:val="center"/>
          </w:tcPr>
          <w:p w14:paraId="6834E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评价维度</w:t>
            </w:r>
          </w:p>
        </w:tc>
        <w:tc>
          <w:tcPr>
            <w:tcW w:w="7217" w:type="dxa"/>
            <w:vAlign w:val="center"/>
          </w:tcPr>
          <w:p w14:paraId="0E5AF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评价要点</w:t>
            </w:r>
          </w:p>
        </w:tc>
        <w:tc>
          <w:tcPr>
            <w:tcW w:w="757" w:type="dxa"/>
            <w:vAlign w:val="center"/>
          </w:tcPr>
          <w:p w14:paraId="21605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bidi="en-US"/>
              </w:rPr>
              <w:t>分值</w:t>
            </w:r>
          </w:p>
        </w:tc>
      </w:tr>
      <w:tr w14:paraId="700F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Align w:val="center"/>
          </w:tcPr>
          <w:p w14:paraId="61ECF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理念与目标</w:t>
            </w:r>
          </w:p>
        </w:tc>
        <w:tc>
          <w:tcPr>
            <w:tcW w:w="7217" w:type="dxa"/>
            <w:vAlign w:val="center"/>
          </w:tcPr>
          <w:p w14:paraId="4771A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课程设计体现“以学生发展为中心”的理念，教学目标符合学科特点和学生实际；在各自学科领域推进“四新”建设，带动教学模式创新；体现对知识、能力与思维等方面的要求。教学目标清楚、具体，易于理解，便于实施，行为动词使用正确，阐述规范。</w:t>
            </w:r>
          </w:p>
        </w:tc>
        <w:tc>
          <w:tcPr>
            <w:tcW w:w="757" w:type="dxa"/>
            <w:vAlign w:val="center"/>
          </w:tcPr>
          <w:p w14:paraId="1D0BF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6683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restart"/>
            <w:vAlign w:val="center"/>
          </w:tcPr>
          <w:p w14:paraId="02D7B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内容分析</w:t>
            </w:r>
          </w:p>
        </w:tc>
        <w:tc>
          <w:tcPr>
            <w:tcW w:w="7217" w:type="dxa"/>
            <w:vAlign w:val="center"/>
          </w:tcPr>
          <w:p w14:paraId="29AFD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1.教学内容前后知识点关系、地位、作用描述准确，重点、难点分析清楚。</w:t>
            </w:r>
          </w:p>
        </w:tc>
        <w:tc>
          <w:tcPr>
            <w:tcW w:w="757" w:type="dxa"/>
            <w:vAlign w:val="center"/>
          </w:tcPr>
          <w:p w14:paraId="44F49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4</w:t>
            </w:r>
          </w:p>
        </w:tc>
      </w:tr>
      <w:tr w14:paraId="20D1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continue"/>
            <w:vAlign w:val="center"/>
          </w:tcPr>
          <w:p w14:paraId="2A59B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17" w:type="dxa"/>
            <w:vAlign w:val="center"/>
          </w:tcPr>
          <w:p w14:paraId="6590D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2.能够将教学内容与学科研究新进展、实践发展新经验、社会需求新变化相联系。</w:t>
            </w:r>
          </w:p>
        </w:tc>
        <w:tc>
          <w:tcPr>
            <w:tcW w:w="757" w:type="dxa"/>
            <w:vAlign w:val="center"/>
          </w:tcPr>
          <w:p w14:paraId="11D1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6</w:t>
            </w:r>
          </w:p>
        </w:tc>
      </w:tr>
      <w:tr w14:paraId="5DDAB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Align w:val="center"/>
          </w:tcPr>
          <w:p w14:paraId="19E2D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学情分析</w:t>
            </w:r>
          </w:p>
        </w:tc>
        <w:tc>
          <w:tcPr>
            <w:tcW w:w="7217" w:type="dxa"/>
            <w:vAlign w:val="center"/>
          </w:tcPr>
          <w:p w14:paraId="552CC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学生认知特点和起点水平表述恰当，学习习惯和能力分析合理。</w:t>
            </w:r>
          </w:p>
        </w:tc>
        <w:tc>
          <w:tcPr>
            <w:tcW w:w="757" w:type="dxa"/>
            <w:vAlign w:val="center"/>
          </w:tcPr>
          <w:p w14:paraId="6F7BF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6</w:t>
            </w:r>
          </w:p>
        </w:tc>
      </w:tr>
      <w:tr w14:paraId="74B02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Align w:val="center"/>
          </w:tcPr>
          <w:p w14:paraId="76866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课程思政</w:t>
            </w:r>
          </w:p>
        </w:tc>
        <w:tc>
          <w:tcPr>
            <w:tcW w:w="7217" w:type="dxa"/>
            <w:vAlign w:val="center"/>
          </w:tcPr>
          <w:p w14:paraId="6A78E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将思想政治教育与专业教育有机融合，引用典型教学案例举例说明，具有示范作用和推广价值。</w:t>
            </w:r>
          </w:p>
        </w:tc>
        <w:tc>
          <w:tcPr>
            <w:tcW w:w="757" w:type="dxa"/>
            <w:vAlign w:val="center"/>
          </w:tcPr>
          <w:p w14:paraId="26777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2E6C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restart"/>
            <w:vAlign w:val="center"/>
          </w:tcPr>
          <w:p w14:paraId="7BFDC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过程与方法</w:t>
            </w:r>
          </w:p>
        </w:tc>
        <w:tc>
          <w:tcPr>
            <w:tcW w:w="7217" w:type="dxa"/>
            <w:vAlign w:val="center"/>
          </w:tcPr>
          <w:p w14:paraId="7B4FB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1.教学活动丰富多样，能体现各等级水平的知识、技能和情感价值目标。</w:t>
            </w:r>
          </w:p>
        </w:tc>
        <w:tc>
          <w:tcPr>
            <w:tcW w:w="757" w:type="dxa"/>
            <w:vAlign w:val="center"/>
          </w:tcPr>
          <w:p w14:paraId="3913A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66FD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continue"/>
            <w:vAlign w:val="center"/>
          </w:tcPr>
          <w:p w14:paraId="4CEAF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17" w:type="dxa"/>
            <w:vAlign w:val="center"/>
          </w:tcPr>
          <w:p w14:paraId="2D142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2.能创造性地使用教材，内容充实精要，适合学生水平；结构合理，过渡自然，便于操作；理论联系实际，启发学生思考及问题解决。</w:t>
            </w:r>
          </w:p>
        </w:tc>
        <w:tc>
          <w:tcPr>
            <w:tcW w:w="757" w:type="dxa"/>
            <w:vAlign w:val="center"/>
          </w:tcPr>
          <w:p w14:paraId="422D8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7F3B4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continue"/>
            <w:vAlign w:val="center"/>
          </w:tcPr>
          <w:p w14:paraId="41F45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17" w:type="dxa"/>
            <w:vAlign w:val="center"/>
          </w:tcPr>
          <w:p w14:paraId="1C714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3.能根据课程特点，用创新的教学策略、方法、技术解决课堂中存在的各种问题和困难；教学重点突出，难点把握准确。</w:t>
            </w:r>
          </w:p>
        </w:tc>
        <w:tc>
          <w:tcPr>
            <w:tcW w:w="757" w:type="dxa"/>
            <w:vAlign w:val="center"/>
          </w:tcPr>
          <w:p w14:paraId="699F4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4268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continue"/>
            <w:vAlign w:val="center"/>
          </w:tcPr>
          <w:p w14:paraId="6BD0F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</w:p>
        </w:tc>
        <w:tc>
          <w:tcPr>
            <w:tcW w:w="7217" w:type="dxa"/>
            <w:vAlign w:val="center"/>
          </w:tcPr>
          <w:p w14:paraId="16325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合理选择与应用信息技术，创设教学环境，关注师生、生生互动，强调自主、合作、探究的学习。</w:t>
            </w:r>
          </w:p>
        </w:tc>
        <w:tc>
          <w:tcPr>
            <w:tcW w:w="757" w:type="dxa"/>
            <w:vAlign w:val="center"/>
          </w:tcPr>
          <w:p w14:paraId="536B3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13661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restart"/>
            <w:vAlign w:val="center"/>
          </w:tcPr>
          <w:p w14:paraId="78DF1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考评与反馈</w:t>
            </w:r>
          </w:p>
        </w:tc>
        <w:tc>
          <w:tcPr>
            <w:tcW w:w="7217" w:type="dxa"/>
            <w:vAlign w:val="center"/>
          </w:tcPr>
          <w:p w14:paraId="54CD3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1.采用多元评价方法，合理评价学生知识、能力与思维的发展。</w:t>
            </w:r>
          </w:p>
        </w:tc>
        <w:tc>
          <w:tcPr>
            <w:tcW w:w="757" w:type="dxa"/>
            <w:vAlign w:val="center"/>
          </w:tcPr>
          <w:p w14:paraId="2739C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4</w:t>
            </w:r>
          </w:p>
        </w:tc>
      </w:tr>
      <w:tr w14:paraId="4F9C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Merge w:val="continue"/>
            <w:vAlign w:val="center"/>
          </w:tcPr>
          <w:p w14:paraId="3FB81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</w:p>
        </w:tc>
        <w:tc>
          <w:tcPr>
            <w:tcW w:w="7217" w:type="dxa"/>
            <w:vAlign w:val="center"/>
          </w:tcPr>
          <w:p w14:paraId="7766E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3.过程性评价与终结性评价相结合，有适合学科、学生特点的评价规则与标准。</w:t>
            </w:r>
          </w:p>
        </w:tc>
        <w:tc>
          <w:tcPr>
            <w:tcW w:w="757" w:type="dxa"/>
            <w:vAlign w:val="center"/>
          </w:tcPr>
          <w:p w14:paraId="7D327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6</w:t>
            </w:r>
          </w:p>
        </w:tc>
      </w:tr>
      <w:tr w14:paraId="1DEC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Align w:val="center"/>
          </w:tcPr>
          <w:p w14:paraId="38A9F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文档规范</w:t>
            </w:r>
          </w:p>
        </w:tc>
        <w:tc>
          <w:tcPr>
            <w:tcW w:w="7217" w:type="dxa"/>
            <w:vAlign w:val="center"/>
          </w:tcPr>
          <w:p w14:paraId="7247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  <w:tc>
          <w:tcPr>
            <w:tcW w:w="757" w:type="dxa"/>
            <w:vAlign w:val="center"/>
          </w:tcPr>
          <w:p w14:paraId="5B956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4</w:t>
            </w:r>
          </w:p>
        </w:tc>
      </w:tr>
      <w:tr w14:paraId="504E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75" w:type="dxa"/>
            <w:vAlign w:val="center"/>
          </w:tcPr>
          <w:p w14:paraId="4E297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设计创新</w:t>
            </w:r>
          </w:p>
        </w:tc>
        <w:tc>
          <w:tcPr>
            <w:tcW w:w="7217" w:type="dxa"/>
            <w:vAlign w:val="center"/>
          </w:tcPr>
          <w:p w14:paraId="1C48A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  <w:tc>
          <w:tcPr>
            <w:tcW w:w="757" w:type="dxa"/>
            <w:vAlign w:val="center"/>
          </w:tcPr>
          <w:p w14:paraId="30585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bidi="en-US"/>
              </w:rPr>
              <w:t>10</w:t>
            </w:r>
          </w:p>
        </w:tc>
      </w:tr>
      <w:tr w14:paraId="6978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592" w:type="dxa"/>
            <w:gridSpan w:val="2"/>
            <w:vAlign w:val="center"/>
          </w:tcPr>
          <w:p w14:paraId="52F8ADFD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合计</w:t>
            </w:r>
          </w:p>
        </w:tc>
        <w:tc>
          <w:tcPr>
            <w:tcW w:w="757" w:type="dxa"/>
            <w:vAlign w:val="center"/>
          </w:tcPr>
          <w:p w14:paraId="3D353751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4"/>
                <w:szCs w:val="24"/>
                <w:lang w:val="en-US" w:eastAsia="zh-CN" w:bidi="en-US"/>
              </w:rPr>
              <w:t>100</w:t>
            </w:r>
          </w:p>
        </w:tc>
      </w:tr>
    </w:tbl>
    <w:p w14:paraId="6AE3F49D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617257DE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19F90215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6AF44469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519F1784">
      <w:pPr>
        <w:pStyle w:val="2"/>
        <w:ind w:firstLine="0" w:firstLineChars="0"/>
        <w:jc w:val="center"/>
        <w:rPr>
          <w:rFonts w:hint="default" w:ascii="黑体" w:hAnsi="黑体" w:eastAsia="黑体" w:cs="黑体"/>
          <w:sz w:val="36"/>
          <w:szCs w:val="36"/>
          <w:lang w:val="en-US" w:eastAsia="zh-CN" w:bidi="en-US"/>
        </w:rPr>
      </w:pPr>
      <w:r>
        <w:rPr>
          <w:rFonts w:hint="eastAsia" w:ascii="黑体" w:hAnsi="黑体" w:eastAsia="黑体" w:cs="黑体"/>
          <w:sz w:val="36"/>
          <w:szCs w:val="36"/>
          <w:lang w:bidi="en-US"/>
        </w:rPr>
        <w:t>第</w:t>
      </w:r>
      <w:r>
        <w:rPr>
          <w:rFonts w:hint="eastAsia" w:ascii="黑体" w:hAnsi="黑体" w:eastAsia="黑体" w:cs="黑体"/>
          <w:sz w:val="36"/>
          <w:szCs w:val="36"/>
          <w:lang w:val="en-US" w:eastAsia="zh-CN" w:bidi="en-US"/>
        </w:rPr>
        <w:t>七</w:t>
      </w:r>
      <w:r>
        <w:rPr>
          <w:rFonts w:hint="eastAsia" w:ascii="黑体" w:hAnsi="黑体" w:eastAsia="黑体" w:cs="黑体"/>
          <w:sz w:val="36"/>
          <w:szCs w:val="36"/>
          <w:lang w:bidi="en-US"/>
        </w:rPr>
        <w:t>届华南农业大学教师教学创新大赛</w:t>
      </w:r>
      <w:r>
        <w:rPr>
          <w:rFonts w:hint="eastAsia" w:ascii="黑体" w:hAnsi="黑体" w:eastAsia="黑体" w:cs="黑体"/>
          <w:sz w:val="36"/>
          <w:szCs w:val="36"/>
          <w:lang w:val="en-US" w:eastAsia="zh-CN" w:bidi="en-US"/>
        </w:rPr>
        <w:t>评分表</w:t>
      </w:r>
    </w:p>
    <w:p w14:paraId="2A16782B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  <w:t>一、教学创新成果报告评分表（课程思政赛道）</w:t>
      </w:r>
    </w:p>
    <w:tbl>
      <w:tblPr>
        <w:tblStyle w:val="3"/>
        <w:tblW w:w="7273" w:type="dxa"/>
        <w:tblInd w:w="1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5086"/>
        <w:gridCol w:w="821"/>
      </w:tblGrid>
      <w:tr w14:paraId="21447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CC317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评价维度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52F68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评价要点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4FFF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分值</w:t>
            </w:r>
          </w:p>
        </w:tc>
      </w:tr>
      <w:tr w14:paraId="3C456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C8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问题导向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5E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以落实立德树人根本任务为导向，立足于学科专业的育人特点和要求，发现和解决本课程开展课堂思政教学过程中的真实问题。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FD9A5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6F499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B3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创新举措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68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能够准确把握课程思政的内涵建设要求，聚焦需要解决的课程思政教学过程的问题，在教学目标、教学设计、教学内容、方法手段、考核评价等方面提出了具体举措，且针对性、创新性、可操作性强。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CAC78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4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28D5E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40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创新效果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A0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能够切实解决课程思政教学存在的问题，能够有效实现寓价值观引导于知识传授和能力培养之中，帮助学生塑造正确的世界观人生观价值观。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CFBD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49D1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3E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成果辐射</w:t>
            </w:r>
          </w:p>
        </w:tc>
        <w:tc>
          <w:tcPr>
            <w:tcW w:w="5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F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能对课程思政实践成效开展基于案例的有效分析与总结，面向同一类型课程、同一学科专业、同一类型学校，形成具有较强辐射推广价值的课程思政教学新方法、新模式。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357A4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30A8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6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17B4">
            <w:pPr>
              <w:spacing w:line="500" w:lineRule="exact"/>
              <w:jc w:val="center"/>
              <w:rPr>
                <w:rFonts w:hint="eastAsia"/>
                <w:lang w:eastAsia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合计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19024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100</w:t>
            </w:r>
          </w:p>
        </w:tc>
      </w:tr>
    </w:tbl>
    <w:p w14:paraId="27D9EB86">
      <w:pPr>
        <w:pStyle w:val="2"/>
        <w:ind w:firstLine="0" w:firstLineChars="0"/>
        <w:rPr>
          <w:rFonts w:hint="eastAsia"/>
          <w:lang w:bidi="en-US"/>
        </w:rPr>
      </w:pPr>
    </w:p>
    <w:p w14:paraId="59EF600C">
      <w:pPr>
        <w:pStyle w:val="2"/>
        <w:ind w:firstLine="0" w:firstLineChars="0"/>
        <w:rPr>
          <w:rFonts w:hint="eastAsia"/>
          <w:lang w:bidi="en-US"/>
        </w:rPr>
      </w:pPr>
    </w:p>
    <w:p w14:paraId="731AD86D">
      <w:pPr>
        <w:pStyle w:val="2"/>
        <w:ind w:firstLine="0" w:firstLineChars="0"/>
        <w:rPr>
          <w:rFonts w:hint="eastAsia"/>
          <w:lang w:bidi="en-US"/>
        </w:rPr>
      </w:pPr>
    </w:p>
    <w:p w14:paraId="05C64B8A">
      <w:pPr>
        <w:pStyle w:val="2"/>
        <w:ind w:firstLine="0" w:firstLineChars="0"/>
        <w:rPr>
          <w:rFonts w:hint="eastAsia"/>
          <w:lang w:bidi="en-US"/>
        </w:rPr>
      </w:pPr>
    </w:p>
    <w:p w14:paraId="0C1157BF">
      <w:pPr>
        <w:pStyle w:val="2"/>
        <w:ind w:firstLine="0" w:firstLineChars="0"/>
        <w:rPr>
          <w:rFonts w:hint="eastAsia"/>
          <w:lang w:bidi="en-US"/>
        </w:rPr>
      </w:pPr>
    </w:p>
    <w:p w14:paraId="3A7935DE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bookmarkStart w:id="2" w:name="_Hlk183701189"/>
    </w:p>
    <w:p w14:paraId="7BD1ADC9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  <w:t>二、教学设计创新汇报评分表（课程思政赛道）</w:t>
      </w:r>
    </w:p>
    <w:tbl>
      <w:tblPr>
        <w:tblStyle w:val="3"/>
        <w:tblW w:w="9222" w:type="dxa"/>
        <w:tblInd w:w="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6955"/>
        <w:gridCol w:w="965"/>
      </w:tblGrid>
      <w:tr w14:paraId="1D2B7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78EC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4"/>
                <w:szCs w:val="24"/>
                <w:lang w:eastAsia="en-US" w:bidi="en-US"/>
              </w:rPr>
              <w:t>评价维度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A135B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4"/>
                <w:szCs w:val="24"/>
                <w:lang w:eastAsia="en-US" w:bidi="en-US"/>
              </w:rPr>
              <w:t>评价要点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A3E59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ker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kern w:val="0"/>
                <w:sz w:val="24"/>
                <w:szCs w:val="24"/>
                <w:lang w:bidi="en-US"/>
              </w:rPr>
              <w:t>分值</w:t>
            </w:r>
          </w:p>
        </w:tc>
      </w:tr>
      <w:tr w14:paraId="0812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8E63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eastAsia="en-US" w:bidi="en-US"/>
              </w:rPr>
              <w:t>理念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FD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坚持立德树人，体现“以学生发展为中心”，将价值塑造、知识传授和能力培养融为一体，充分发挥课程育人作用。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A800A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5BB2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C331C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总体设计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59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bookmarkStart w:id="3" w:name="_Hlk183706315"/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遵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有效落实立德树人根本任务。</w:t>
            </w:r>
            <w:bookmarkEnd w:id="3"/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4FC6B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08523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CB85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教学目标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51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教学目标符合学校办学定位、学生情况和专业人才培养需求，准确体现对学生价值塑造、知识传授和能力培养等方面的要求。教学目标清楚具体，易于理解，便于实施，行为动词使用正确，阐述规范。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DF470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7555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2873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  <w:t>学情分析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64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学生认知特点和起点水平表述恰当，学习习惯和能力分析合理，思想发展现状、特点和规律总结准确。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22D7C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5</w:t>
            </w:r>
          </w:p>
        </w:tc>
      </w:tr>
      <w:tr w14:paraId="00D81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E748B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eastAsia="en-US" w:bidi="en-US"/>
              </w:rPr>
              <w:t>内容分析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06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符合学生思想发展和认知特点，体现课程育人理念和目标，课程知识体系清晰科学，课程自身蕴含的思政教育资源挖掘深入准确，思政资源和知识内容融合紧密恰当。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175FC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4B69B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6E2E7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  <w:t>过程与方法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8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教学活动丰富，过渡自然，充分发挥教师主导、学生主体作用，能够帮助学生有效提升素质、知识和能力。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55991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12608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22414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EF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教学方法灵活恰当，现代信息技术应用科学合理，关注学生兴趣、引导学生思考，强调自主、合作、探究的学习。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308FB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59408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66D53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10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教材和教学资源选用科学，教学案例典型恰当，注重价值引领，注重理论联系实际，将思政教育有机融入教学过程。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20206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4566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6B9F7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  <w:t>考评与反馈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CA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教学评价维度多样，方法多元，内容科学，适合学科专业要求和学生特点，能够评价学生素质、知识和能力等各方面的发展变化。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84C8F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6229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06F50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  <w:t>设计创新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C8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围绕价值引领、知识传授和能力培养紧密融合进行一体化设计，充分体现育人理念和特点，专业特色突出，富有思想性、时代性和科学性、创新性。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AC22A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</w:t>
            </w:r>
          </w:p>
        </w:tc>
      </w:tr>
      <w:tr w14:paraId="6844B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5A840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0"/>
                <w:sz w:val="24"/>
                <w:szCs w:val="24"/>
                <w:lang w:bidi="en-US"/>
              </w:rPr>
              <w:t>文档规范</w:t>
            </w:r>
          </w:p>
        </w:tc>
        <w:tc>
          <w:tcPr>
            <w:tcW w:w="6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20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FE12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5</w:t>
            </w:r>
          </w:p>
        </w:tc>
      </w:tr>
      <w:tr w14:paraId="3BCC2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9DDC0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合计得分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0D46">
            <w:pPr>
              <w:widowControl/>
              <w:spacing w:line="520" w:lineRule="exact"/>
              <w:jc w:val="center"/>
              <w:rPr>
                <w:rFonts w:hint="eastAsia" w:ascii="方正公文仿宋" w:hAnsi="方正公文仿宋" w:eastAsia="方正公文仿宋" w:cs="方正公文仿宋"/>
                <w:spacing w:val="-12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spacing w:val="-12"/>
                <w:sz w:val="24"/>
                <w:szCs w:val="24"/>
                <w:lang w:val="en-US" w:eastAsia="zh-CN" w:bidi="en-US"/>
              </w:rPr>
              <w:t>100</w:t>
            </w:r>
          </w:p>
        </w:tc>
      </w:tr>
    </w:tbl>
    <w:p w14:paraId="44628678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13907BC8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760DE372">
      <w:pPr>
        <w:pStyle w:val="2"/>
        <w:ind w:firstLine="0" w:firstLineChars="0"/>
        <w:jc w:val="center"/>
        <w:rPr>
          <w:rFonts w:hint="eastAsia" w:ascii="黑体" w:hAnsi="黑体" w:eastAsia="黑体" w:cs="黑体"/>
          <w:sz w:val="36"/>
          <w:szCs w:val="36"/>
          <w:lang w:bidi="en-US"/>
        </w:rPr>
      </w:pPr>
    </w:p>
    <w:p w14:paraId="0F248649">
      <w:pPr>
        <w:pStyle w:val="2"/>
        <w:ind w:firstLine="0" w:firstLineChars="0"/>
        <w:jc w:val="center"/>
        <w:rPr>
          <w:rFonts w:hint="eastAsia"/>
          <w:lang w:bidi="en-US"/>
        </w:rPr>
      </w:pPr>
      <w:r>
        <w:rPr>
          <w:rFonts w:hint="eastAsia" w:ascii="黑体" w:hAnsi="黑体" w:eastAsia="黑体" w:cs="黑体"/>
          <w:sz w:val="36"/>
          <w:szCs w:val="36"/>
          <w:lang w:bidi="en-US"/>
        </w:rPr>
        <w:t>第</w:t>
      </w:r>
      <w:r>
        <w:rPr>
          <w:rFonts w:hint="eastAsia" w:ascii="黑体" w:hAnsi="黑体" w:eastAsia="黑体" w:cs="黑体"/>
          <w:sz w:val="36"/>
          <w:szCs w:val="36"/>
          <w:lang w:val="en-US" w:eastAsia="zh-CN" w:bidi="en-US"/>
        </w:rPr>
        <w:t>七</w:t>
      </w:r>
      <w:r>
        <w:rPr>
          <w:rFonts w:hint="eastAsia" w:ascii="黑体" w:hAnsi="黑体" w:eastAsia="黑体" w:cs="黑体"/>
          <w:sz w:val="36"/>
          <w:szCs w:val="36"/>
          <w:lang w:bidi="en-US"/>
        </w:rPr>
        <w:t>届华南农业大学教师教学创新大赛</w:t>
      </w:r>
      <w:r>
        <w:rPr>
          <w:rFonts w:hint="eastAsia" w:ascii="黑体" w:hAnsi="黑体" w:eastAsia="黑体" w:cs="黑体"/>
          <w:sz w:val="36"/>
          <w:szCs w:val="36"/>
          <w:lang w:val="en-US" w:eastAsia="zh-CN" w:bidi="en-US"/>
        </w:rPr>
        <w:t>评分表</w:t>
      </w:r>
    </w:p>
    <w:bookmarkEnd w:id="2"/>
    <w:p w14:paraId="4168252D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  <w:t>一、教学创新成果报告评分表（产教融合赛道）</w:t>
      </w:r>
    </w:p>
    <w:tbl>
      <w:tblPr>
        <w:tblStyle w:val="3"/>
        <w:tblW w:w="7980" w:type="dxa"/>
        <w:tblInd w:w="7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5414"/>
        <w:gridCol w:w="1209"/>
      </w:tblGrid>
      <w:tr w14:paraId="1500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57" w:type="dxa"/>
            <w:vAlign w:val="center"/>
          </w:tcPr>
          <w:p w14:paraId="5367024B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评价维度</w:t>
            </w:r>
          </w:p>
        </w:tc>
        <w:tc>
          <w:tcPr>
            <w:tcW w:w="5414" w:type="dxa"/>
            <w:vAlign w:val="center"/>
          </w:tcPr>
          <w:p w14:paraId="31CFD402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评价要点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8D42105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kern w:val="2"/>
                <w:sz w:val="28"/>
                <w:szCs w:val="28"/>
                <w:lang w:val="en-US"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分值</w:t>
            </w:r>
          </w:p>
        </w:tc>
      </w:tr>
      <w:tr w14:paraId="768B1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357" w:type="dxa"/>
            <w:vAlign w:val="center"/>
          </w:tcPr>
          <w:p w14:paraId="19811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问题导向</w:t>
            </w:r>
          </w:p>
        </w:tc>
        <w:tc>
          <w:tcPr>
            <w:tcW w:w="5414" w:type="dxa"/>
            <w:vAlign w:val="center"/>
          </w:tcPr>
          <w:p w14:paraId="0857B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人才培养规格与哲学社会科学和自然科学领域的各类实践需求相符，以培养高素质创新人才为导向，立足专业和学科特色，发现和解决产教融合课程教学面临的问题和挑战。</w:t>
            </w:r>
          </w:p>
        </w:tc>
        <w:tc>
          <w:tcPr>
            <w:tcW w:w="1209" w:type="dxa"/>
            <w:vAlign w:val="center"/>
          </w:tcPr>
          <w:p w14:paraId="10284065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77473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1357" w:type="dxa"/>
            <w:vAlign w:val="center"/>
          </w:tcPr>
          <w:p w14:paraId="52D4D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创新特色</w:t>
            </w:r>
          </w:p>
        </w:tc>
        <w:tc>
          <w:tcPr>
            <w:tcW w:w="5414" w:type="dxa"/>
            <w:vAlign w:val="center"/>
          </w:tcPr>
          <w:p w14:paraId="4B979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通过产学研深度合作，在教学目标、内容、方法、评价和资源开发等方面共同完成课程改革，且针对性、创新性、可操作性强。</w:t>
            </w:r>
          </w:p>
        </w:tc>
        <w:tc>
          <w:tcPr>
            <w:tcW w:w="1209" w:type="dxa"/>
            <w:vAlign w:val="center"/>
          </w:tcPr>
          <w:p w14:paraId="190A36EC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4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4281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1357" w:type="dxa"/>
            <w:vAlign w:val="center"/>
          </w:tcPr>
          <w:p w14:paraId="2AF4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创新效果</w:t>
            </w:r>
          </w:p>
        </w:tc>
        <w:tc>
          <w:tcPr>
            <w:tcW w:w="5414" w:type="dxa"/>
            <w:vAlign w:val="center"/>
          </w:tcPr>
          <w:p w14:paraId="0DAAA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课程教学方案设计科学、方法有效、评价多元，数字化转型较好，学生服务国家战略意识、专业知识素养、解决产业发展问题能力同步提高，解决人才培养供给侧和产业需求侧的结构性矛盾。</w:t>
            </w:r>
          </w:p>
        </w:tc>
        <w:tc>
          <w:tcPr>
            <w:tcW w:w="1209" w:type="dxa"/>
            <w:vAlign w:val="center"/>
          </w:tcPr>
          <w:p w14:paraId="46B45CE2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38B4B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1357" w:type="dxa"/>
            <w:vAlign w:val="center"/>
          </w:tcPr>
          <w:p w14:paraId="6D047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成果的辐射</w:t>
            </w:r>
          </w:p>
        </w:tc>
        <w:tc>
          <w:tcPr>
            <w:tcW w:w="5414" w:type="dxa"/>
            <w:vAlign w:val="center"/>
          </w:tcPr>
          <w:p w14:paraId="5E6C3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能够对创新实践成效开展基于证据的有效分析与总结，形成具有较强辐射推广价值的教学新方法、新模式。</w:t>
            </w:r>
          </w:p>
        </w:tc>
        <w:tc>
          <w:tcPr>
            <w:tcW w:w="1209" w:type="dxa"/>
            <w:vAlign w:val="center"/>
          </w:tcPr>
          <w:p w14:paraId="1A5EE648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0</w:t>
            </w:r>
          </w:p>
        </w:tc>
      </w:tr>
      <w:tr w14:paraId="520F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6771" w:type="dxa"/>
            <w:gridSpan w:val="2"/>
            <w:vAlign w:val="center"/>
          </w:tcPr>
          <w:p w14:paraId="0E63E638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合计</w:t>
            </w:r>
          </w:p>
        </w:tc>
        <w:tc>
          <w:tcPr>
            <w:tcW w:w="1209" w:type="dxa"/>
            <w:vAlign w:val="center"/>
          </w:tcPr>
          <w:p w14:paraId="6F4ECBC3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100</w:t>
            </w:r>
          </w:p>
        </w:tc>
      </w:tr>
    </w:tbl>
    <w:p w14:paraId="158AA628">
      <w:pPr>
        <w:widowControl/>
        <w:jc w:val="left"/>
        <w:rPr>
          <w:rFonts w:eastAsia="黑体"/>
          <w:b/>
          <w:bCs/>
          <w:color w:val="000000"/>
          <w:kern w:val="0"/>
          <w:sz w:val="30"/>
          <w:szCs w:val="30"/>
          <w:lang w:bidi="en-US"/>
        </w:rPr>
      </w:pPr>
    </w:p>
    <w:p w14:paraId="7459BB44">
      <w:pPr>
        <w:pStyle w:val="2"/>
        <w:rPr>
          <w:rFonts w:eastAsia="黑体"/>
          <w:b/>
          <w:bCs/>
          <w:color w:val="000000"/>
          <w:kern w:val="0"/>
          <w:sz w:val="30"/>
          <w:szCs w:val="30"/>
          <w:lang w:bidi="en-US"/>
        </w:rPr>
      </w:pPr>
    </w:p>
    <w:p w14:paraId="74570309">
      <w:pPr>
        <w:pStyle w:val="2"/>
        <w:rPr>
          <w:rFonts w:eastAsia="黑体"/>
          <w:b/>
          <w:bCs/>
          <w:color w:val="000000"/>
          <w:kern w:val="0"/>
          <w:sz w:val="30"/>
          <w:szCs w:val="30"/>
          <w:lang w:bidi="en-US"/>
        </w:rPr>
      </w:pPr>
    </w:p>
    <w:p w14:paraId="18637351">
      <w:pPr>
        <w:pStyle w:val="2"/>
        <w:rPr>
          <w:rFonts w:eastAsia="黑体"/>
          <w:b/>
          <w:bCs/>
          <w:color w:val="000000"/>
          <w:kern w:val="0"/>
          <w:sz w:val="30"/>
          <w:szCs w:val="30"/>
          <w:lang w:bidi="en-US"/>
        </w:rPr>
      </w:pPr>
    </w:p>
    <w:p w14:paraId="61A4F940">
      <w:pPr>
        <w:pStyle w:val="2"/>
        <w:rPr>
          <w:rFonts w:eastAsia="黑体"/>
          <w:b/>
          <w:bCs/>
          <w:color w:val="000000"/>
          <w:kern w:val="0"/>
          <w:sz w:val="30"/>
          <w:szCs w:val="30"/>
          <w:lang w:bidi="en-US"/>
        </w:rPr>
      </w:pPr>
    </w:p>
    <w:p w14:paraId="3662B7B5">
      <w:pPr>
        <w:pStyle w:val="2"/>
        <w:rPr>
          <w:rFonts w:eastAsia="黑体"/>
          <w:b/>
          <w:bCs/>
          <w:color w:val="000000"/>
          <w:kern w:val="0"/>
          <w:sz w:val="30"/>
          <w:szCs w:val="30"/>
          <w:lang w:bidi="en-US"/>
        </w:rPr>
      </w:pPr>
    </w:p>
    <w:p w14:paraId="536DBC9B">
      <w:pPr>
        <w:widowControl/>
        <w:jc w:val="center"/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</w:pPr>
      <w:r>
        <w:rPr>
          <w:rFonts w:hint="eastAsia" w:ascii="方正公文仿宋" w:hAnsi="方正公文仿宋" w:eastAsia="方正公文仿宋" w:cs="方正公文仿宋"/>
          <w:b/>
          <w:bCs/>
          <w:color w:val="000000"/>
          <w:kern w:val="0"/>
          <w:sz w:val="32"/>
          <w:szCs w:val="32"/>
          <w:lang w:val="en-US" w:eastAsia="zh-CN" w:bidi="en-US"/>
        </w:rPr>
        <w:t>二、教学设计创新汇报评分表（产教融合赛道）</w:t>
      </w:r>
    </w:p>
    <w:tbl>
      <w:tblPr>
        <w:tblStyle w:val="3"/>
        <w:tblW w:w="8500" w:type="dxa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5924"/>
        <w:gridCol w:w="988"/>
      </w:tblGrid>
      <w:tr w14:paraId="3B5C5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Align w:val="center"/>
          </w:tcPr>
          <w:p w14:paraId="6085D651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评价维度</w:t>
            </w:r>
          </w:p>
        </w:tc>
        <w:tc>
          <w:tcPr>
            <w:tcW w:w="5924" w:type="dxa"/>
            <w:vAlign w:val="center"/>
          </w:tcPr>
          <w:p w14:paraId="50B813CD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eastAsia="en-US" w:bidi="en-US"/>
              </w:rPr>
              <w:t>评价要点</w:t>
            </w:r>
          </w:p>
        </w:tc>
        <w:tc>
          <w:tcPr>
            <w:tcW w:w="988" w:type="dxa"/>
            <w:vAlign w:val="center"/>
          </w:tcPr>
          <w:p w14:paraId="379F58C5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/>
                <w:bCs/>
                <w:spacing w:val="-12"/>
                <w:sz w:val="28"/>
                <w:szCs w:val="28"/>
                <w:lang w:bidi="en-US"/>
              </w:rPr>
              <w:t>分值</w:t>
            </w:r>
          </w:p>
        </w:tc>
      </w:tr>
      <w:tr w14:paraId="5B6CA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Align w:val="center"/>
          </w:tcPr>
          <w:p w14:paraId="4D367FEC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理念与目标</w:t>
            </w:r>
          </w:p>
        </w:tc>
        <w:tc>
          <w:tcPr>
            <w:tcW w:w="5924" w:type="dxa"/>
            <w:vAlign w:val="center"/>
          </w:tcPr>
          <w:p w14:paraId="27B5D980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课程设计体现“以学生发展为中心”的理念，教学目标符合学科特点和学生实际，清楚具体，易于理解，便于实施，助力拔尖创新人才培养。</w:t>
            </w:r>
          </w:p>
        </w:tc>
        <w:tc>
          <w:tcPr>
            <w:tcW w:w="988" w:type="dxa"/>
            <w:vAlign w:val="center"/>
          </w:tcPr>
          <w:p w14:paraId="18D0A3DD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5397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Merge w:val="restart"/>
            <w:vAlign w:val="center"/>
          </w:tcPr>
          <w:p w14:paraId="244150F3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内容分析</w:t>
            </w:r>
          </w:p>
        </w:tc>
        <w:tc>
          <w:tcPr>
            <w:tcW w:w="5924" w:type="dxa"/>
            <w:vAlign w:val="center"/>
          </w:tcPr>
          <w:p w14:paraId="7144D22C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紧密对接产业链和创新链，及时将学科研究新进展、实践发展新经验、社会需求新变化、思政教育有机融入课程教学内容，更新及时，动态完善。</w:t>
            </w:r>
          </w:p>
        </w:tc>
        <w:tc>
          <w:tcPr>
            <w:tcW w:w="988" w:type="dxa"/>
            <w:vAlign w:val="center"/>
          </w:tcPr>
          <w:p w14:paraId="6CFE537D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</w:t>
            </w:r>
          </w:p>
        </w:tc>
      </w:tr>
      <w:tr w14:paraId="77C8F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Merge w:val="continue"/>
            <w:vAlign w:val="center"/>
          </w:tcPr>
          <w:p w14:paraId="45BC1B15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</w:p>
        </w:tc>
        <w:tc>
          <w:tcPr>
            <w:tcW w:w="5924" w:type="dxa"/>
            <w:vAlign w:val="center"/>
          </w:tcPr>
          <w:p w14:paraId="1557DDA0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避免“两张皮”，将专业课程知识点关系 、地位、作用纳入到产业发展的新环境、新背景中去讲授，描述准确，理论与实践结合合理，高校、行业企业内容分配合理；参与教学的双师型师资队伍建设合理。</w:t>
            </w:r>
          </w:p>
        </w:tc>
        <w:tc>
          <w:tcPr>
            <w:tcW w:w="988" w:type="dxa"/>
            <w:vAlign w:val="center"/>
          </w:tcPr>
          <w:p w14:paraId="3770B6B6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</w:t>
            </w:r>
          </w:p>
        </w:tc>
      </w:tr>
      <w:tr w14:paraId="2A985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Merge w:val="restart"/>
            <w:vAlign w:val="center"/>
          </w:tcPr>
          <w:p w14:paraId="013FB9F9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eastAsia="en-US" w:bidi="en-US"/>
              </w:rPr>
              <w:t>过程与方法</w:t>
            </w:r>
          </w:p>
        </w:tc>
        <w:tc>
          <w:tcPr>
            <w:tcW w:w="5924" w:type="dxa"/>
            <w:vAlign w:val="center"/>
          </w:tcPr>
          <w:p w14:paraId="679CAE39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教学过程在行业企业真实场景下进行，培养学生分析解决复杂问题的能力以及创新创业的意识和能力，实践教学与生产实践对接。</w:t>
            </w:r>
          </w:p>
        </w:tc>
        <w:tc>
          <w:tcPr>
            <w:tcW w:w="988" w:type="dxa"/>
            <w:vAlign w:val="center"/>
          </w:tcPr>
          <w:p w14:paraId="2CA8BE9A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</w:t>
            </w:r>
          </w:p>
        </w:tc>
      </w:tr>
      <w:tr w14:paraId="57CCD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Merge w:val="continue"/>
            <w:vAlign w:val="center"/>
          </w:tcPr>
          <w:p w14:paraId="10B31D9C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</w:p>
        </w:tc>
        <w:tc>
          <w:tcPr>
            <w:tcW w:w="5924" w:type="dxa"/>
            <w:vAlign w:val="center"/>
          </w:tcPr>
          <w:p w14:paraId="61614B26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通过产教协同解决教学过程中存在的各种问题和困难；教学重点突出，难点把握准确，充分调动学生积极性、主动性和创新性。</w:t>
            </w:r>
          </w:p>
        </w:tc>
        <w:tc>
          <w:tcPr>
            <w:tcW w:w="988" w:type="dxa"/>
            <w:vAlign w:val="center"/>
          </w:tcPr>
          <w:p w14:paraId="0955D96F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</w:t>
            </w:r>
          </w:p>
        </w:tc>
      </w:tr>
      <w:tr w14:paraId="78D1E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Merge w:val="continue"/>
            <w:vAlign w:val="center"/>
          </w:tcPr>
          <w:p w14:paraId="04CBFCB2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</w:p>
        </w:tc>
        <w:tc>
          <w:tcPr>
            <w:tcW w:w="5924" w:type="dxa"/>
            <w:vAlign w:val="center"/>
          </w:tcPr>
          <w:p w14:paraId="2765F039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合理选择与应用数字化平台和技术，创设教学环境，强调自主、合作、探究的学习。</w:t>
            </w:r>
          </w:p>
        </w:tc>
        <w:tc>
          <w:tcPr>
            <w:tcW w:w="988" w:type="dxa"/>
            <w:vAlign w:val="center"/>
          </w:tcPr>
          <w:p w14:paraId="7187DC05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</w:t>
            </w:r>
          </w:p>
        </w:tc>
      </w:tr>
      <w:tr w14:paraId="22B0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Align w:val="center"/>
          </w:tcPr>
          <w:p w14:paraId="0891E728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考核评价</w:t>
            </w:r>
          </w:p>
        </w:tc>
        <w:tc>
          <w:tcPr>
            <w:tcW w:w="5924" w:type="dxa"/>
            <w:vAlign w:val="center"/>
          </w:tcPr>
          <w:p w14:paraId="6F17023F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评价方法和主体多元，行业企业参与评价，过程性评价和终结性评价相结合，学生知识、能力和思维发展得到合理有效评价。</w:t>
            </w:r>
          </w:p>
        </w:tc>
        <w:tc>
          <w:tcPr>
            <w:tcW w:w="988" w:type="dxa"/>
            <w:vAlign w:val="center"/>
          </w:tcPr>
          <w:p w14:paraId="3C35E62C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</w:t>
            </w:r>
          </w:p>
        </w:tc>
      </w:tr>
      <w:tr w14:paraId="13AF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588" w:type="dxa"/>
            <w:vAlign w:val="center"/>
          </w:tcPr>
          <w:p w14:paraId="03AAC450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设计创新</w:t>
            </w:r>
          </w:p>
        </w:tc>
        <w:tc>
          <w:tcPr>
            <w:tcW w:w="5924" w:type="dxa"/>
            <w:vAlign w:val="center"/>
          </w:tcPr>
          <w:p w14:paraId="732A7FCE">
            <w:pPr>
              <w:spacing w:line="500" w:lineRule="exact"/>
              <w:jc w:val="left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4"/>
                <w:szCs w:val="24"/>
                <w:lang w:bidi="en-US"/>
              </w:rPr>
              <w:t>教学方案的整体设计富有创新性，注重资源整合，能体现产教融合协同育人的教学理念、思路和要求；教学方法选择适当，教学过程设计有突出的特色。</w:t>
            </w:r>
          </w:p>
        </w:tc>
        <w:tc>
          <w:tcPr>
            <w:tcW w:w="988" w:type="dxa"/>
            <w:vAlign w:val="center"/>
          </w:tcPr>
          <w:p w14:paraId="4EC96029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bidi="en-US"/>
              </w:rPr>
              <w:t>0</w:t>
            </w:r>
          </w:p>
        </w:tc>
      </w:tr>
      <w:tr w14:paraId="4FDC7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512" w:type="dxa"/>
            <w:gridSpan w:val="2"/>
            <w:vAlign w:val="center"/>
          </w:tcPr>
          <w:p w14:paraId="0A79195F">
            <w:pPr>
              <w:spacing w:line="500" w:lineRule="exact"/>
              <w:jc w:val="center"/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spacing w:val="-12"/>
                <w:sz w:val="28"/>
                <w:szCs w:val="28"/>
                <w:lang w:bidi="en-US"/>
              </w:rPr>
              <w:t>合计</w:t>
            </w:r>
          </w:p>
        </w:tc>
        <w:tc>
          <w:tcPr>
            <w:tcW w:w="988" w:type="dxa"/>
            <w:vAlign w:val="center"/>
          </w:tcPr>
          <w:p w14:paraId="61FAC093">
            <w:pPr>
              <w:spacing w:line="500" w:lineRule="exact"/>
              <w:jc w:val="center"/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 w:val="0"/>
                <w:spacing w:val="-12"/>
                <w:sz w:val="28"/>
                <w:szCs w:val="28"/>
                <w:lang w:val="en-US" w:eastAsia="zh-CN" w:bidi="en-US"/>
              </w:rPr>
              <w:t>100</w:t>
            </w:r>
          </w:p>
        </w:tc>
      </w:tr>
    </w:tbl>
    <w:p w14:paraId="178D0C19">
      <w:bookmarkStart w:id="4" w:name="_GoBack"/>
      <w:bookmarkEnd w:id="4"/>
    </w:p>
    <w:sectPr>
      <w:pgSz w:w="11906" w:h="16838"/>
      <w:pgMar w:top="1120" w:right="826" w:bottom="895" w:left="11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258153-C268-4541-8EE4-E3ECC177A0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D1173742-BDE5-4125-8FF0-0A8DF55439D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10CCD8D-6BF7-465C-B4CC-4C5B6B3870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72E78"/>
    <w:rsid w:val="01C963F3"/>
    <w:rsid w:val="03930A2B"/>
    <w:rsid w:val="039C5221"/>
    <w:rsid w:val="052226DA"/>
    <w:rsid w:val="06620BC5"/>
    <w:rsid w:val="06A45686"/>
    <w:rsid w:val="06B75C76"/>
    <w:rsid w:val="07FE108E"/>
    <w:rsid w:val="084864A1"/>
    <w:rsid w:val="08DA3ADA"/>
    <w:rsid w:val="09047D11"/>
    <w:rsid w:val="09F61D50"/>
    <w:rsid w:val="0AEE0C79"/>
    <w:rsid w:val="0C0A1AE2"/>
    <w:rsid w:val="0C277C0B"/>
    <w:rsid w:val="0CF34325"/>
    <w:rsid w:val="0D7E3589"/>
    <w:rsid w:val="0D906493"/>
    <w:rsid w:val="0E421EF0"/>
    <w:rsid w:val="0E464928"/>
    <w:rsid w:val="135B2C24"/>
    <w:rsid w:val="13C94031"/>
    <w:rsid w:val="14B634FC"/>
    <w:rsid w:val="14C22376"/>
    <w:rsid w:val="150A4901"/>
    <w:rsid w:val="15221AAA"/>
    <w:rsid w:val="153219B6"/>
    <w:rsid w:val="181451A4"/>
    <w:rsid w:val="189A41EE"/>
    <w:rsid w:val="19F41C47"/>
    <w:rsid w:val="1B704CAB"/>
    <w:rsid w:val="1BFE6842"/>
    <w:rsid w:val="22920590"/>
    <w:rsid w:val="239A7798"/>
    <w:rsid w:val="269132BC"/>
    <w:rsid w:val="27181100"/>
    <w:rsid w:val="2725381D"/>
    <w:rsid w:val="27FC068A"/>
    <w:rsid w:val="28101D32"/>
    <w:rsid w:val="28895918"/>
    <w:rsid w:val="29194590"/>
    <w:rsid w:val="2A2E4796"/>
    <w:rsid w:val="2AC85DB9"/>
    <w:rsid w:val="2AF04EB2"/>
    <w:rsid w:val="2BB45F19"/>
    <w:rsid w:val="2CA174A1"/>
    <w:rsid w:val="2D2147AE"/>
    <w:rsid w:val="2E580034"/>
    <w:rsid w:val="2E8A6368"/>
    <w:rsid w:val="2F4F0A46"/>
    <w:rsid w:val="310149B3"/>
    <w:rsid w:val="32986D58"/>
    <w:rsid w:val="32DD144F"/>
    <w:rsid w:val="36280C33"/>
    <w:rsid w:val="36653C36"/>
    <w:rsid w:val="38523D46"/>
    <w:rsid w:val="394D5E45"/>
    <w:rsid w:val="398B750F"/>
    <w:rsid w:val="3A7B3A28"/>
    <w:rsid w:val="3AC47625"/>
    <w:rsid w:val="3B282F8A"/>
    <w:rsid w:val="3BC1190E"/>
    <w:rsid w:val="3C2105FF"/>
    <w:rsid w:val="3C236125"/>
    <w:rsid w:val="3C315F2F"/>
    <w:rsid w:val="3CAD23A6"/>
    <w:rsid w:val="3CC52D38"/>
    <w:rsid w:val="3D3C45F6"/>
    <w:rsid w:val="3DBF74EF"/>
    <w:rsid w:val="3E42660A"/>
    <w:rsid w:val="3F65547F"/>
    <w:rsid w:val="41922209"/>
    <w:rsid w:val="419D0727"/>
    <w:rsid w:val="42833BAD"/>
    <w:rsid w:val="430D6C3D"/>
    <w:rsid w:val="439E2535"/>
    <w:rsid w:val="4685178A"/>
    <w:rsid w:val="46A33025"/>
    <w:rsid w:val="472370DB"/>
    <w:rsid w:val="477363B8"/>
    <w:rsid w:val="480C3F11"/>
    <w:rsid w:val="488C19D7"/>
    <w:rsid w:val="48C12AEC"/>
    <w:rsid w:val="493F0A84"/>
    <w:rsid w:val="4AC8086B"/>
    <w:rsid w:val="4BD17F74"/>
    <w:rsid w:val="4DCE3A17"/>
    <w:rsid w:val="4E7A459E"/>
    <w:rsid w:val="4F6D3794"/>
    <w:rsid w:val="4FC275AB"/>
    <w:rsid w:val="50D94DC5"/>
    <w:rsid w:val="516E6649"/>
    <w:rsid w:val="524E5AF2"/>
    <w:rsid w:val="526107A4"/>
    <w:rsid w:val="52927562"/>
    <w:rsid w:val="52C5188C"/>
    <w:rsid w:val="53133101"/>
    <w:rsid w:val="5402266C"/>
    <w:rsid w:val="54BD3102"/>
    <w:rsid w:val="567B3B1E"/>
    <w:rsid w:val="58823D7B"/>
    <w:rsid w:val="58CB127E"/>
    <w:rsid w:val="593608FB"/>
    <w:rsid w:val="5B25654A"/>
    <w:rsid w:val="5B9242D5"/>
    <w:rsid w:val="5BBC66DB"/>
    <w:rsid w:val="5D521F6E"/>
    <w:rsid w:val="5D53790B"/>
    <w:rsid w:val="5DB669A1"/>
    <w:rsid w:val="5F0454EA"/>
    <w:rsid w:val="5F447C0C"/>
    <w:rsid w:val="5FAE5456"/>
    <w:rsid w:val="60080119"/>
    <w:rsid w:val="60A07495"/>
    <w:rsid w:val="616E7593"/>
    <w:rsid w:val="624318A6"/>
    <w:rsid w:val="624D4109"/>
    <w:rsid w:val="626F4667"/>
    <w:rsid w:val="62740BD9"/>
    <w:rsid w:val="632E0D88"/>
    <w:rsid w:val="67AD15D4"/>
    <w:rsid w:val="67BF16F0"/>
    <w:rsid w:val="689B0655"/>
    <w:rsid w:val="69210D87"/>
    <w:rsid w:val="6BA632F6"/>
    <w:rsid w:val="6C496C32"/>
    <w:rsid w:val="6E2F0A19"/>
    <w:rsid w:val="6ED20C37"/>
    <w:rsid w:val="6EF824C7"/>
    <w:rsid w:val="6F305E87"/>
    <w:rsid w:val="6F977CB5"/>
    <w:rsid w:val="6FA5737D"/>
    <w:rsid w:val="700646E2"/>
    <w:rsid w:val="70940C8A"/>
    <w:rsid w:val="727539E2"/>
    <w:rsid w:val="73473ECB"/>
    <w:rsid w:val="752F7A25"/>
    <w:rsid w:val="76323713"/>
    <w:rsid w:val="7778366B"/>
    <w:rsid w:val="77893AF9"/>
    <w:rsid w:val="79BC6C95"/>
    <w:rsid w:val="79CE7EB1"/>
    <w:rsid w:val="7B0614CE"/>
    <w:rsid w:val="7B546B1F"/>
    <w:rsid w:val="7C6D4F7A"/>
    <w:rsid w:val="7D1604F2"/>
    <w:rsid w:val="7E8A07FC"/>
    <w:rsid w:val="7EA701BB"/>
    <w:rsid w:val="7FC2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3132</Words>
  <Characters>3188</Characters>
  <Lines>0</Lines>
  <Paragraphs>0</Paragraphs>
  <TotalTime>4</TotalTime>
  <ScaleCrop>false</ScaleCrop>
  <LinksUpToDate>false</LinksUpToDate>
  <CharactersWithSpaces>3189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2024-09-13T01:18:00Z</dcterms:created>
  <dc:creator>朱永梅</dc:creator>
  <cp:lastModifiedBy>朱永梅</cp:lastModifiedBy>
  <dcterms:modified xsi:type="dcterms:W3CDTF">2026-09-28T04:08:20Z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0A195408DD6847D8A451DA7DBABD4245_12</vt:lpwstr>
  </property>
  <property fmtid="{D5CDD505-2E9C-101B-9397-08002B2CF9AE}" pid="4" name="KSOTemplateDocerSaveRecord">
    <vt:lpwstr>eyJoZGlkIjoiMGY1ZmNkOWFjZmQ1Yzg3ZmQ0N2U3NjNmM2U4NWJhZGEiLCJ1c2VySWQiOiIxNjgzOTI1NjEzIn0=</vt:lpwstr>
  </property>
</Properties>
</file>